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2021重庆+长江</w:t>
      </w:r>
      <w:r>
        <w:rPr>
          <w:rFonts w:hint="eastAsia" w:ascii="微软雅黑" w:hAnsi="微软雅黑" w:eastAsia="微软雅黑" w:cs="微软雅黑"/>
          <w:b/>
          <w:bCs/>
          <w:snapToGrid w:val="0"/>
          <w:color w:val="03775D"/>
          <w:sz w:val="36"/>
          <w:szCs w:val="36"/>
          <w:lang w:eastAsia="zh-CN"/>
        </w:rPr>
        <w:t>三峡</w:t>
      </w:r>
      <w:r>
        <w:rPr>
          <w:rFonts w:hint="eastAsia" w:ascii="微软雅黑" w:hAnsi="微软雅黑" w:eastAsia="微软雅黑" w:cs="微软雅黑"/>
          <w:b/>
          <w:bCs/>
          <w:snapToGrid w:val="0"/>
          <w:color w:val="03775D"/>
          <w:sz w:val="36"/>
          <w:szCs w:val="36"/>
          <w:lang w:val="en-US" w:eastAsia="zh-CN"/>
        </w:rPr>
        <w:t>单船票2日游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87" w:type="dxa"/>
        <w:tblInd w:w="60" w:type="dxa"/>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Layout w:type="fixed"/>
        <w:tblCellMar>
          <w:top w:w="0" w:type="dxa"/>
          <w:left w:w="108" w:type="dxa"/>
          <w:bottom w:w="0" w:type="dxa"/>
          <w:right w:w="108" w:type="dxa"/>
        </w:tblCellMar>
      </w:tblPr>
      <w:tblGrid>
        <w:gridCol w:w="613"/>
        <w:gridCol w:w="7938"/>
        <w:gridCol w:w="936"/>
        <w:gridCol w:w="1100"/>
      </w:tblGrid>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widowControl w:val="0"/>
              <w:wordWrap/>
              <w:adjustRightInd/>
              <w:snapToGrid/>
              <w:spacing w:line="300" w:lineRule="exact"/>
              <w:ind w:right="-105" w:rightChars="-50"/>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天数</w:t>
            </w:r>
          </w:p>
        </w:tc>
        <w:tc>
          <w:tcPr>
            <w:tcW w:w="7938" w:type="dxa"/>
            <w:tcBorders>
              <w:tl2br w:val="nil"/>
              <w:tr2bl w:val="nil"/>
            </w:tcBorders>
            <w:vAlign w:val="top"/>
          </w:tcPr>
          <w:p>
            <w:pPr>
              <w:widowControl w:val="0"/>
              <w:wordWrap/>
              <w:adjustRightInd/>
              <w:snapToGrid/>
              <w:spacing w:line="30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简明行程</w:t>
            </w:r>
          </w:p>
        </w:tc>
        <w:tc>
          <w:tcPr>
            <w:tcW w:w="936"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用餐</w:t>
            </w:r>
          </w:p>
        </w:tc>
        <w:tc>
          <w:tcPr>
            <w:tcW w:w="1100"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住宿</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widowControl w:val="0"/>
              <w:wordWrap/>
              <w:adjustRightInd/>
              <w:snapToGrid/>
              <w:spacing w:line="30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1</w:t>
            </w:r>
          </w:p>
        </w:tc>
        <w:tc>
          <w:tcPr>
            <w:tcW w:w="7938" w:type="dxa"/>
            <w:tcBorders>
              <w:tl2br w:val="nil"/>
              <w:tr2bl w:val="nil"/>
            </w:tcBorders>
            <w:vAlign w:val="top"/>
          </w:tcPr>
          <w:p>
            <w:pPr>
              <w:widowControl w:val="0"/>
              <w:wordWrap/>
              <w:adjustRightInd/>
              <w:snapToGrid/>
              <w:spacing w:line="30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指07:30朝天门集合出发，游览长寿古镇，下午</w:t>
            </w:r>
            <w:r>
              <w:rPr>
                <w:rFonts w:hint="eastAsia" w:ascii="微软雅黑" w:hAnsi="微软雅黑" w:eastAsia="微软雅黑" w:cs="微软雅黑"/>
                <w:color w:val="0000FF"/>
                <w:sz w:val="21"/>
                <w:szCs w:val="21"/>
                <w:lang w:val="en-US" w:eastAsia="zh-CN"/>
              </w:rPr>
              <w:t>自费游览【白帝城】</w:t>
            </w:r>
            <w:r>
              <w:rPr>
                <w:rFonts w:hint="eastAsia" w:ascii="微软雅黑" w:hAnsi="微软雅黑" w:eastAsia="微软雅黑" w:cs="微软雅黑"/>
                <w:color w:val="000000"/>
                <w:sz w:val="21"/>
                <w:szCs w:val="21"/>
                <w:lang w:val="en-US" w:eastAsia="zh-CN"/>
              </w:rPr>
              <w:t>，晚上登船。</w:t>
            </w:r>
          </w:p>
        </w:tc>
        <w:tc>
          <w:tcPr>
            <w:tcW w:w="936"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晚</w:t>
            </w:r>
          </w:p>
        </w:tc>
        <w:tc>
          <w:tcPr>
            <w:tcW w:w="1100"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游船</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widowControl w:val="0"/>
              <w:wordWrap/>
              <w:adjustRightInd/>
              <w:snapToGrid/>
              <w:spacing w:line="30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2</w:t>
            </w:r>
          </w:p>
        </w:tc>
        <w:tc>
          <w:tcPr>
            <w:tcW w:w="7938" w:type="dxa"/>
            <w:tcBorders>
              <w:tl2br w:val="nil"/>
              <w:tr2bl w:val="nil"/>
            </w:tcBorders>
            <w:vAlign w:val="top"/>
          </w:tcPr>
          <w:p>
            <w:pPr>
              <w:widowControl w:val="0"/>
              <w:wordWrap/>
              <w:adjustRightInd/>
              <w:snapToGrid/>
              <w:spacing w:line="30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凌晨奉节港启航，早观</w:t>
            </w:r>
            <w:r>
              <w:rPr>
                <w:rFonts w:hint="eastAsia" w:ascii="微软雅黑" w:hAnsi="微软雅黑" w:eastAsia="微软雅黑" w:cs="微软雅黑"/>
                <w:b/>
                <w:bCs/>
                <w:color w:val="FF0000"/>
                <w:sz w:val="21"/>
                <w:szCs w:val="21"/>
                <w:lang w:val="en-US" w:eastAsia="zh-CN"/>
              </w:rPr>
              <w:t>【巫峡】</w:t>
            </w:r>
            <w:r>
              <w:rPr>
                <w:rFonts w:hint="eastAsia" w:ascii="微软雅黑" w:hAnsi="微软雅黑" w:eastAsia="微软雅黑" w:cs="微软雅黑"/>
                <w:color w:val="000000"/>
                <w:sz w:val="21"/>
                <w:szCs w:val="21"/>
                <w:lang w:val="en-US" w:eastAsia="zh-CN"/>
              </w:rPr>
              <w:t>，上午</w:t>
            </w:r>
            <w:r>
              <w:rPr>
                <w:rFonts w:hint="eastAsia" w:ascii="微软雅黑" w:hAnsi="微软雅黑" w:eastAsia="微软雅黑" w:cs="微软雅黑"/>
                <w:color w:val="0000FF"/>
                <w:sz w:val="21"/>
                <w:szCs w:val="21"/>
                <w:lang w:val="en-US" w:eastAsia="zh-CN"/>
              </w:rPr>
              <w:t>自费游览【神农溪】</w:t>
            </w:r>
            <w:r>
              <w:rPr>
                <w:rFonts w:hint="eastAsia" w:ascii="微软雅黑" w:hAnsi="微软雅黑" w:eastAsia="微软雅黑" w:cs="微软雅黑"/>
                <w:color w:val="000000"/>
                <w:sz w:val="21"/>
                <w:szCs w:val="21"/>
                <w:lang w:val="en-US" w:eastAsia="zh-CN"/>
              </w:rPr>
              <w:t>，约15：30港茅坪下客，游</w:t>
            </w:r>
            <w:r>
              <w:rPr>
                <w:rFonts w:hint="eastAsia" w:ascii="微软雅黑" w:hAnsi="微软雅黑" w:eastAsia="微软雅黑" w:cs="微软雅黑"/>
                <w:b/>
                <w:bCs/>
                <w:color w:val="FF0000"/>
                <w:sz w:val="21"/>
                <w:szCs w:val="21"/>
                <w:lang w:val="en-US" w:eastAsia="zh-CN"/>
              </w:rPr>
              <w:t>【三峡大坝】</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FF0000"/>
                <w:sz w:val="21"/>
                <w:szCs w:val="21"/>
                <w:lang w:val="en-US" w:eastAsia="zh-CN"/>
              </w:rPr>
              <w:t>【屈原故里】</w:t>
            </w:r>
            <w:r>
              <w:rPr>
                <w:rFonts w:hint="eastAsia" w:ascii="微软雅黑" w:hAnsi="微软雅黑" w:eastAsia="微软雅黑" w:cs="微软雅黑"/>
                <w:color w:val="000000"/>
                <w:sz w:val="21"/>
                <w:szCs w:val="21"/>
                <w:lang w:val="en-US" w:eastAsia="zh-CN"/>
              </w:rPr>
              <w:t>。</w:t>
            </w:r>
          </w:p>
        </w:tc>
        <w:tc>
          <w:tcPr>
            <w:tcW w:w="936"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w:t>
            </w:r>
          </w:p>
        </w:tc>
        <w:tc>
          <w:tcPr>
            <w:tcW w:w="1100" w:type="dxa"/>
            <w:tcBorders>
              <w:tl2br w:val="nil"/>
              <w:tr2bl w:val="nil"/>
            </w:tcBorders>
            <w:vAlign w:val="top"/>
          </w:tcPr>
          <w:p>
            <w:pPr>
              <w:widowControl w:val="0"/>
              <w:wordWrap/>
              <w:adjustRightInd/>
              <w:snapToGrid/>
              <w:spacing w:line="300" w:lineRule="exact"/>
              <w:jc w:val="left"/>
              <w:textAlignment w:val="auto"/>
              <w:rPr>
                <w:rFonts w:hint="eastAsia" w:ascii="微软雅黑" w:hAnsi="微软雅黑" w:eastAsia="微软雅黑" w:cs="微软雅黑"/>
                <w:color w:val="000000"/>
                <w:sz w:val="21"/>
                <w:szCs w:val="21"/>
                <w:lang w:val="en-US" w:eastAsia="zh-CN"/>
              </w:rPr>
            </w:pPr>
          </w:p>
        </w:tc>
      </w:tr>
    </w:tbl>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详细介绍：</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29"/>
        <w:gridCol w:w="2626"/>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29"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365"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FF0000"/>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29"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DAY2</w:t>
            </w:r>
          </w:p>
        </w:tc>
        <w:tc>
          <w:tcPr>
            <w:tcW w:w="9365"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eastAsia="zh-CN"/>
              </w:rPr>
              <w:t>无</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FF0000"/>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FF0000"/>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FF0000"/>
                <w:kern w:val="0"/>
                <w:szCs w:val="21"/>
                <w:lang w:val="en-US" w:eastAsia="zh-CN"/>
              </w:rPr>
              <w:t>【屈原故里】</w:t>
            </w:r>
            <w:r>
              <w:rPr>
                <w:rFonts w:hint="eastAsia" w:ascii="微软雅黑" w:hAnsi="微软雅黑" w:eastAsia="微软雅黑" w:cs="微软雅黑"/>
                <w:kern w:val="0"/>
                <w:szCs w:val="21"/>
                <w:lang w:val="en-US" w:eastAsia="zh-CN"/>
              </w:rPr>
              <w:t>（游览时间不低于40分钟）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参观结束后乘车赴宜昌九码头游客中心结束行程。</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pacing w:val="6"/>
                <w:szCs w:val="21"/>
                <w:lang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送游览长寿古镇、三峡大坝、屈原故里。所有景点均为整船采购，任何证件均不再优惠。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sz w:val="21"/>
                <w:szCs w:val="21"/>
                <w:lang w:val="en-US" w:eastAsia="zh-CN"/>
              </w:rPr>
              <w:t>美维凯蕾</w:t>
            </w:r>
            <w:bookmarkStart w:id="0" w:name="_GoBack"/>
            <w:bookmarkEnd w:id="0"/>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b w:val="0"/>
                <w:bCs/>
                <w:sz w:val="21"/>
                <w:szCs w:val="21"/>
                <w:lang w:eastAsia="zh-CN"/>
              </w:rPr>
              <w:t>包</w:t>
            </w:r>
            <w:r>
              <w:rPr>
                <w:rFonts w:hint="eastAsia" w:ascii="微软雅黑" w:hAnsi="微软雅黑" w:eastAsia="微软雅黑" w:cs="微软雅黑"/>
                <w:b w:val="0"/>
                <w:bCs/>
                <w:sz w:val="21"/>
                <w:szCs w:val="21"/>
              </w:rPr>
              <w:t>含</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早</w:t>
            </w:r>
            <w:r>
              <w:rPr>
                <w:rFonts w:hint="eastAsia" w:ascii="微软雅黑" w:hAnsi="微软雅黑" w:eastAsia="微软雅黑" w:cs="微软雅黑"/>
                <w:sz w:val="21"/>
                <w:szCs w:val="21"/>
                <w:lang w:val="en-US" w:eastAsia="zh-CN"/>
              </w:rPr>
              <w:t>2正</w:t>
            </w:r>
            <w:r>
              <w:rPr>
                <w:rFonts w:hint="eastAsia" w:ascii="微软雅黑" w:hAnsi="微软雅黑" w:eastAsia="微软雅黑" w:cs="微软雅黑"/>
                <w:color w:val="000000"/>
                <w:sz w:val="21"/>
                <w:szCs w:val="21"/>
                <w:lang w:val="en-US" w:eastAsia="zh-CN"/>
              </w:rPr>
              <w:t>，船餐1早1正餐：早餐和正餐均为自助餐，陆地：1正餐10人/桌，8菜/汤。</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cs="微软雅黑"/>
                <w:color w:val="000000"/>
                <w:lang w:val="en-US" w:eastAsia="zh-CN"/>
              </w:rPr>
              <w:t>兰州-重庆火车硬卧（不指定铺位，不指定在同一车厢）；重庆-奉节</w:t>
            </w:r>
            <w:r>
              <w:rPr>
                <w:rFonts w:hint="eastAsia" w:ascii="微软雅黑" w:hAnsi="微软雅黑" w:eastAsia="微软雅黑" w:cs="微软雅黑"/>
                <w:color w:val="000000"/>
                <w:lang w:eastAsia="zh-CN"/>
              </w:rPr>
              <w:t>为</w:t>
            </w:r>
            <w:r>
              <w:rPr>
                <w:rFonts w:hint="eastAsia" w:ascii="微软雅黑" w:hAnsi="微软雅黑" w:eastAsia="微软雅黑" w:cs="微软雅黑"/>
                <w:color w:val="000000"/>
              </w:rPr>
              <w:t>空调旅游</w:t>
            </w:r>
            <w:r>
              <w:rPr>
                <w:rFonts w:hint="eastAsia" w:ascii="微软雅黑" w:hAnsi="微软雅黑" w:eastAsia="微软雅黑" w:cs="微软雅黑"/>
                <w:color w:val="000000"/>
                <w:lang w:eastAsia="zh-CN"/>
              </w:rPr>
              <w:t>大巴</w:t>
            </w:r>
            <w:r>
              <w:rPr>
                <w:rFonts w:hint="eastAsia" w:ascii="微软雅黑" w:hAnsi="微软雅黑" w:eastAsia="微软雅黑" w:cs="微软雅黑"/>
                <w:color w:val="000000"/>
              </w:rPr>
              <w:t>（</w:t>
            </w:r>
            <w:r>
              <w:rPr>
                <w:rFonts w:hint="eastAsia" w:ascii="微软雅黑" w:hAnsi="微软雅黑" w:eastAsia="微软雅黑" w:cs="微软雅黑"/>
                <w:color w:val="000000"/>
                <w:lang w:eastAsia="zh-CN"/>
              </w:rPr>
              <w:t>按人数派</w:t>
            </w:r>
            <w:r>
              <w:rPr>
                <w:rFonts w:hint="eastAsia" w:ascii="微软雅黑" w:hAnsi="微软雅黑" w:eastAsia="微软雅黑" w:cs="微软雅黑"/>
                <w:color w:val="000000"/>
              </w:rPr>
              <w:t>车）</w:t>
            </w:r>
            <w:r>
              <w:rPr>
                <w:rFonts w:hint="eastAsia" w:ascii="微软雅黑" w:hAnsi="微软雅黑" w:eastAsia="微软雅黑" w:cs="微软雅黑"/>
                <w:color w:val="000000"/>
                <w:lang w:eastAsia="zh-CN"/>
              </w:rPr>
              <w:t>，每人一正座（包括小孩）；奉节</w:t>
            </w:r>
            <w:r>
              <w:rPr>
                <w:rFonts w:hint="eastAsia" w:ascii="微软雅黑" w:hAnsi="微软雅黑" w:eastAsia="微软雅黑" w:cs="微软雅黑"/>
                <w:color w:val="000000"/>
                <w:lang w:val="en-US" w:eastAsia="zh-CN"/>
              </w:rPr>
              <w:t>至茅坪指定游轮</w:t>
            </w:r>
            <w:r>
              <w:rPr>
                <w:rFonts w:hint="eastAsia" w:ascii="微软雅黑" w:hAnsi="微软雅黑" w:eastAsia="微软雅黑" w:cs="微软雅黑"/>
                <w:color w:val="000000"/>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eastAsia="zh-CN"/>
              </w:rPr>
              <w:t>白帝城</w:t>
            </w:r>
          </w:p>
        </w:tc>
        <w:tc>
          <w:tcPr>
            <w:tcW w:w="10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180</w:t>
            </w:r>
          </w:p>
        </w:tc>
        <w:tc>
          <w:tcPr>
            <w:tcW w:w="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150</w:t>
            </w:r>
          </w:p>
        </w:tc>
        <w:tc>
          <w:tcPr>
            <w:tcW w:w="10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100</w:t>
            </w: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eastAsia="zh-CN"/>
              </w:rPr>
              <w:t>否</w:t>
            </w:r>
          </w:p>
        </w:tc>
        <w:tc>
          <w:tcPr>
            <w:tcW w:w="3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神农溪</w:t>
            </w:r>
          </w:p>
        </w:tc>
        <w:tc>
          <w:tcPr>
            <w:tcW w:w="10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240</w:t>
            </w:r>
          </w:p>
        </w:tc>
        <w:tc>
          <w:tcPr>
            <w:tcW w:w="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240</w:t>
            </w:r>
          </w:p>
        </w:tc>
        <w:tc>
          <w:tcPr>
            <w:tcW w:w="10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240</w:t>
            </w: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105" w:leftChars="-50" w:right="-105" w:rightChars="-50"/>
              <w:jc w:val="center"/>
              <w:textAlignment w:val="auto"/>
              <w:rPr>
                <w:rFonts w:hint="eastAsia" w:ascii="微软雅黑" w:hAnsi="微软雅黑" w:eastAsia="微软雅黑" w:cs="微软雅黑"/>
                <w:b/>
                <w:bCs/>
                <w:color w:val="0000FF"/>
                <w:sz w:val="24"/>
              </w:rPr>
            </w:pPr>
            <w:r>
              <w:rPr>
                <w:rFonts w:hint="eastAsia" w:ascii="微软雅黑" w:hAnsi="微软雅黑" w:eastAsia="微软雅黑" w:cs="微软雅黑"/>
                <w:b/>
                <w:bCs/>
                <w:color w:val="0000FF"/>
                <w:sz w:val="24"/>
              </w:rPr>
              <w:t>否</w:t>
            </w:r>
          </w:p>
        </w:tc>
        <w:tc>
          <w:tcPr>
            <w:tcW w:w="38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8190A2D"/>
    <w:rsid w:val="009C0DDB"/>
    <w:rsid w:val="00C17959"/>
    <w:rsid w:val="00D86007"/>
    <w:rsid w:val="03A63DA1"/>
    <w:rsid w:val="051A649E"/>
    <w:rsid w:val="071034EA"/>
    <w:rsid w:val="07620B63"/>
    <w:rsid w:val="109B59BE"/>
    <w:rsid w:val="13C13803"/>
    <w:rsid w:val="146C48F2"/>
    <w:rsid w:val="177415B2"/>
    <w:rsid w:val="17C44B1E"/>
    <w:rsid w:val="1DE72122"/>
    <w:rsid w:val="1EF673EE"/>
    <w:rsid w:val="210B02B8"/>
    <w:rsid w:val="25CC4F78"/>
    <w:rsid w:val="267E2EBA"/>
    <w:rsid w:val="27E9075B"/>
    <w:rsid w:val="28463A96"/>
    <w:rsid w:val="28A96504"/>
    <w:rsid w:val="29AF0AF1"/>
    <w:rsid w:val="2D504551"/>
    <w:rsid w:val="2FF77BD7"/>
    <w:rsid w:val="30374B13"/>
    <w:rsid w:val="3292615F"/>
    <w:rsid w:val="38190A2D"/>
    <w:rsid w:val="38C36645"/>
    <w:rsid w:val="3F847A5A"/>
    <w:rsid w:val="40783D2E"/>
    <w:rsid w:val="420D1558"/>
    <w:rsid w:val="42796689"/>
    <w:rsid w:val="42FE0DA7"/>
    <w:rsid w:val="43B429CF"/>
    <w:rsid w:val="48EF52E5"/>
    <w:rsid w:val="4D103558"/>
    <w:rsid w:val="568D22D4"/>
    <w:rsid w:val="5BA70CA5"/>
    <w:rsid w:val="5C6D18FB"/>
    <w:rsid w:val="62C253EA"/>
    <w:rsid w:val="66774F32"/>
    <w:rsid w:val="671A7E06"/>
    <w:rsid w:val="6C2A0683"/>
    <w:rsid w:val="73A15047"/>
    <w:rsid w:val="76D14ED9"/>
    <w:rsid w:val="795C0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2021-04-14T07:52:14Z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