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【世纪系列：世纪神话、世纪传奇、世纪天子】4天3晚游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0800  导游游船及行程说明会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上岸游览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3775D"/>
                <w:szCs w:val="21"/>
                <w:lang w:eastAsia="zh-CN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3775D"/>
                <w:szCs w:val="21"/>
                <w:lang w:eastAsia="zh-CN"/>
              </w:rPr>
              <w:t>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1830  船长欢迎酒会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1900  晚餐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停靠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素以"鬼国京都"、“阴曹地府”闻名于世，有三宫九府，宫阙楼观贵似天庭鬼帝坐镇在此，统亿万鬼神。是传说中人类亡灵的归宿之地，集儒、佛、道民间文化于一体的民俗文化艺术宝库，被誉为"中国神曲之乡"、" 人类灵魂之都"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注：游客在船自由活动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期间，可自愿选择观看烽烟三国演出或者石宝寨，费用自理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。（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）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白帝城-瞿塘峡-神女溪-巫峡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1230  中餐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400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  <w:lang w:eastAsia="zh-CN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</w:rPr>
              <w:t>神女溪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  <w:lang w:eastAsia="zh-CN"/>
              </w:rPr>
              <w:t>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  <w:lang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游轮将为您介绍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  <w:lang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晚餐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  <w:t>山水景观令人称绝。翠屏、飞凤、起云、上升、净坛五峰，棋布溪水两岸。神女溪中游，内侧南岸是上升峰，西北是起云峰。峰峦叠翠，云遮雾绕，“江流曲似九回肠”。多处“山重水复疑无路，柳暗花明又一村”，乃峡中之奇峡，景中之绝景。慕名神游长江三峡者，倘若不进神女溪，则永留遗憾。平湖回流，流水变平，水位抬高，神女溪下游约九公里景区，巧夺小三峡之奇秀，更加大三峡之雄险，虽为巫山之山，却似桂林漓江之水——静绝，清绝，绿绝！自七女潭沿溪而进，满眼皆绿。峰回溪转，隐天藏日。阔不过丈，窄不盈尺。游览其间，舒服舒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063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  早餐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0800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Cs/>
                <w:sz w:val="21"/>
                <w:szCs w:val="21"/>
                <w:lang w:val="en-US" w:eastAsia="zh-CN"/>
              </w:rPr>
              <w:t>自愿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换船过世界上最大的“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三峡垂直升船机”（费用自理）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。体验乘坐提升113米（40层楼高）”升船电梯”过三峡大坝的震撼感受，领略“高峡出平湖，当惊世界殊”的壮丽画卷。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3775D"/>
                <w:szCs w:val="21"/>
                <w:lang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九码头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，结束愉快的三峡行程。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18"/>
                <w:szCs w:val="18"/>
                <w:lang w:eastAsia="zh-CN"/>
              </w:rPr>
              <w:t>注：游览完三峡大坝后，自愿另行付费游览三峡人家的客人，抵达宜昌的时间将推迟为</w:t>
            </w:r>
            <w:r>
              <w:rPr>
                <w:rFonts w:hint="eastAsia" w:ascii="微软雅黑" w:hAnsi="微软雅黑" w:eastAsia="微软雅黑" w:cs="微软雅黑"/>
                <w:color w:val="0000FF"/>
                <w:kern w:val="0"/>
                <w:sz w:val="18"/>
                <w:szCs w:val="18"/>
                <w:lang w:val="en-US" w:eastAsia="zh-CN"/>
              </w:rPr>
              <w:t>17:00，请注意时间，安排自己的行程。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2、包含项目：丰都鬼城、小三峡、三峡大坝景点门票，3早4正船餐，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丰都鬼城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2047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2"/>
              <w:gridCol w:w="440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项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目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价格（元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/人</w:t>
                  </w: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烽烟三国演出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白帝城景区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290（游览时间不低于100分钟）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eastAsia="zh-CN"/>
                    </w:rPr>
                    <w:t>三峡升船机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290（游览时间不低于40分钟）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EB5D4"/>
    <w:multiLevelType w:val="singleLevel"/>
    <w:tmpl w:val="3F3EB5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B6008"/>
    <w:rsid w:val="1ED3386F"/>
    <w:rsid w:val="305127E1"/>
    <w:rsid w:val="30A323DF"/>
    <w:rsid w:val="380B6431"/>
    <w:rsid w:val="3B637C0D"/>
    <w:rsid w:val="3F760D05"/>
    <w:rsid w:val="4A8C402B"/>
    <w:rsid w:val="51FC21CD"/>
    <w:rsid w:val="524A3BC7"/>
    <w:rsid w:val="52671EF4"/>
    <w:rsid w:val="55037464"/>
    <w:rsid w:val="768207E6"/>
    <w:rsid w:val="7798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583AAF0BB7BE4A329970AEF0E7DF1EB6</vt:lpwstr>
  </property>
</Properties>
</file>