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5C8AF">
      <w:pPr>
        <w:pStyle w:val="2"/>
        <w:spacing w:line="240" w:lineRule="auto"/>
        <w:jc w:val="center"/>
        <w:rPr>
          <w:rFonts w:hint="eastAsia" w:ascii="汉仪雅酷黑-95J" w:hAnsi="汉仪雅酷黑-95J" w:eastAsia="汉仪雅酷黑-95J" w:cs="汉仪雅酷黑-95J"/>
          <w:b w:val="0"/>
          <w:bCs w:val="0"/>
          <w:sz w:val="72"/>
          <w:szCs w:val="72"/>
        </w:rPr>
      </w:pPr>
      <w:r>
        <w:rPr>
          <w:rFonts w:hint="eastAsia" w:ascii="汉仪雅酷黑-95J" w:hAnsi="汉仪雅酷黑-95J" w:eastAsia="汉仪雅酷黑-95J" w:cs="汉仪雅酷黑-95J"/>
          <w:b w:val="0"/>
          <w:bCs w:val="0"/>
          <w:sz w:val="72"/>
          <w:szCs w:val="72"/>
        </w:rPr>
        <w:t>烟花三月下江南</w:t>
      </w:r>
    </w:p>
    <w:p w14:paraId="16170354">
      <w:pPr>
        <w:pStyle w:val="2"/>
        <w:spacing w:line="240" w:lineRule="auto"/>
        <w:jc w:val="center"/>
      </w:pPr>
      <w:r>
        <w:rPr>
          <w:rFonts w:hint="eastAsia" w:ascii="汉仪雅酷黑-95J" w:hAnsi="汉仪雅酷黑-95J" w:eastAsia="汉仪雅酷黑-95J" w:cs="汉仪雅酷黑-95J"/>
          <w:b w:val="0"/>
          <w:bCs w:val="0"/>
          <w:sz w:val="32"/>
          <w:szCs w:val="32"/>
        </w:rPr>
        <w:t>10天9晚私人定制团行程表</w:t>
      </w:r>
    </w:p>
    <w:tbl>
      <w:tblPr>
        <w:tblStyle w:val="10"/>
        <w:tblW w:w="9871" w:type="dxa"/>
        <w:jc w:val="center"/>
        <w:tblDescription w:val="{&quot;column&quot;:{&quot;emphasizeNum&quot;:1,&quot;emphasizeType&quot;:2,&quot;headerCellStyle&quot;:{&quot;bBoldFont&quot;:true,&quot;bValid&quot;:true,&quot;backgroundColor&quot;:&quot;#e0e0e0&quot;,&quot;borders&quot;:[{&quot;borderColor&quot;:&quot;#000000&quot;,&quot;borderType&quot;:-4,&quot;lineStyle&quot;:1,&quot;lineWidth&quot;:4},{&quot;borderColor&quot;:&quot;#4d4d4d&quot;,&quot;borderType&quot;:-3,&quot;lineStyle&quot;:1,&quot;lineWidth&quot;:8},{&quot;borderColor&quot;:&quot;#000000&quot;,&quot;borderType&quot;:-2,&quot;lineStyle&quot;:1,&quot;lineWidth&quot;:4},{&quot;borderColor&quot;:&quot;#000000&quot;,&quot;borderType&quot;:-1,&quot;lineStyle&quot;:1,&quot;lineWidth&quot;:4}],&quot;fontColor&quot;:&quot;#4d4d4d&quot;},&quot;originStyle&quot;:{&quot;bBoldFont&quot;:false,&quot;bValid&quot;:true,&quot;backgroundColor&quot;:&quot;#666666&quot;,&quot;borders&quot;:[{&quot;borderColor&quot;:&quot;#000000&quot;,&quot;borderType&quot;:-4,&quot;lineStyle&quot;:1,&quot;lineWidth&quot;:4},{&quot;borderColor&quot;:&quot;#000000&quot;,&quot;borderType&quot;:-3,&quot;lineStyle&quot;:1,&quot;lineWidth&quot;:4},{&quot;borderColor&quot;:&quot;#000000&quot;,&quot;borderType&quot;:-2,&quot;lineStyle&quot;:1,&quot;lineWidth&quot;:4},{&quot;borderColor&quot;:&quot;#4d4d4d&quot;,&quot;borderType&quot;:-1,&quot;lineStyle&quot;:1,&quot;lineWidth&quot;:8}],&quot;fontColor&quot;:&quot;#000000&quot;}},&quot;intersectCellInfo&quot;:{&quot;column&quot;:1,&quot;lastStyle&quot;:{&quot;bBoldFont&quot;:true,&quot;bValid&quot;:true,&quot;backgroundColor&quot;:&quot;#e0e0e0&quot;,&quot;borders&quot;:[{&quot;borderColor&quot;:&quot;#000000&quot;,&quot;borderType&quot;:-4,&quot;lineStyle&quot;:1,&quot;lineWidth&quot;:4},{&quot;borderColor&quot;:&quot;#4d4d4d&quot;,&quot;borderType&quot;:-3,&quot;lineStyle&quot;:1,&quot;lineWidth&quot;:8},{&quot;borderColor&quot;:&quot;#000000&quot;,&quot;borderType&quot;:-2,&quot;lineStyle&quot;:1,&quot;lineWidth&quot;:4},{&quot;borderColor&quot;:&quot;#000000&quot;,&quot;borderType&quot;:-1,&quot;lineStyle&quot;:1,&quot;lineWidth&quot;:4}],&quot;fontColor&quot;:&quot;#4d4d4d&quot;},&quot;row&quot;:1},&quot;row&quot;:{&quot;emphasizeNum&quot;:1,&quot;emphasizeType&quot;:3,&quot;originStyle&quot;:{&quot;bBoldFont&quot;:true,&quot;bValid&quot;:true,&quot;backgroundColor&quot;:&quot;#666666&quot;,&quot;borders&quot;:[{&quot;borderColor&quot;:&quot;#000000&quot;,&quot;borderType&quot;:-4,&quot;lineStyle&quot;:1,&quot;lineWidth&quot;:4},{&quot;borderColor&quot;:&quot;#000000&quot;,&quot;borderType&quot;:-3,&quot;lineStyle&quot;:1,&quot;lineWidth&quot;:4},{&quot;borderColor&quot;:&quot;#000000&quot;,&quot;borderType&quot;:-2,&quot;lineStyle&quot;:1,&quot;lineWidth&quot;:4},{&quot;borderColor&quot;:&quot;#000000&quot;,&quot;borderType&quot;:-1,&quot;lineStyle&quot;:1,&quot;lineWidth&quot;:4}],&quot;fontColor&quot;:&quot;#000000&quot;}}}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4"/>
        <w:gridCol w:w="1216"/>
        <w:gridCol w:w="7351"/>
      </w:tblGrid>
      <w:tr w14:paraId="370A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tblHeader/>
          <w:jc w:val="center"/>
        </w:trPr>
        <w:tc>
          <w:tcPr>
            <w:tcW w:w="1304" w:type="dxa"/>
            <w:tcBorders>
              <w:top w:val="single" w:color="4F81BD" w:themeColor="accent1" w:sz="6" w:space="0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94F6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bCs w:val="0"/>
                <w:i w:val="0"/>
                <w:color w:val="auto"/>
              </w:rPr>
            </w:pPr>
            <w:r>
              <w:rPr>
                <w:rFonts w:ascii="Arial" w:hAnsi="Arial" w:cs="Arial"/>
                <w:b/>
                <w:i w:val="0"/>
                <w:color w:val="FFFFFF"/>
              </w:rPr>
              <w:t>日期</w:t>
            </w:r>
          </w:p>
        </w:tc>
        <w:tc>
          <w:tcPr>
            <w:tcW w:w="1216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81D4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i w:val="0"/>
                <w:color w:val="FFFFFF"/>
              </w:rPr>
            </w:pPr>
            <w:r>
              <w:rPr>
                <w:b/>
                <w:i w:val="0"/>
                <w:color w:val="FFFFFF"/>
              </w:rPr>
              <w:t>时间点</w:t>
            </w:r>
          </w:p>
        </w:tc>
        <w:tc>
          <w:tcPr>
            <w:tcW w:w="7351" w:type="dxa"/>
            <w:tcBorders>
              <w:top w:val="single" w:color="4F81BD" w:themeColor="accent1" w:sz="6" w:space="0"/>
              <w:left w:val="single" w:color="B8CCE4" w:themeColor="accent1" w:themeTint="66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4F81BD" w:themeFill="accent1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69F5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i w:val="0"/>
                <w:color w:val="FFFFFF"/>
              </w:rPr>
            </w:pPr>
            <w:r>
              <w:rPr>
                <w:b/>
                <w:i w:val="0"/>
                <w:color w:val="FFFFFF"/>
              </w:rPr>
              <w:t>行程内容</w:t>
            </w:r>
          </w:p>
        </w:tc>
      </w:tr>
      <w:tr w14:paraId="6193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restart"/>
            <w:tcBorders>
              <w:top w:val="single" w:color="4F81BD" w:themeColor="accent1" w:sz="6" w:space="0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6575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3月23日</w:t>
            </w:r>
          </w:p>
        </w:tc>
        <w:tc>
          <w:tcPr>
            <w:tcW w:w="8567" w:type="dxa"/>
            <w:gridSpan w:val="2"/>
            <w:tcBorders>
              <w:top w:val="single" w:color="4F81BD" w:themeColor="accent1" w:sz="6" w:space="0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7F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000000"/>
                <w:sz w:val="36"/>
                <w:szCs w:val="36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成都</w:t>
            </w:r>
            <w:r>
              <w:rPr>
                <w:rFonts w:ascii="Arial" w:hAnsi="Arial" w:eastAsia="等线" w:cs="Arial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扬州｜东关街</w:t>
            </w:r>
          </w:p>
        </w:tc>
      </w:tr>
      <w:tr w14:paraId="41FC9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81297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6FD24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12:50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AE70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天府国际机场T2乘新海航/乌鲁木齐航空UQ2573波音737(中)出发</w:t>
            </w:r>
          </w:p>
        </w:tc>
      </w:tr>
      <w:tr w14:paraId="5070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671DD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7BD5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15:25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09233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抵达扬州泰州机场</w:t>
            </w:r>
          </w:p>
        </w:tc>
      </w:tr>
      <w:tr w14:paraId="60D0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2CD24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DF22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15:50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6D95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集合上车，车程40km/约1小时</w:t>
            </w:r>
          </w:p>
        </w:tc>
      </w:tr>
      <w:tr w14:paraId="1688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2BED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746D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17:00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CB4A5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Arial" w:eastAsia="等线"/>
                <w:b w:val="0"/>
                <w:i w:val="0"/>
                <w:color w:val="000000"/>
                <w:sz w:val="22"/>
                <w:lang w:val="en-US" w:eastAsia="zh-CN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漫步东关历史文化旅游区，游览1小时</w:t>
            </w:r>
            <w:r>
              <w:rPr>
                <w:rFonts w:hint="eastAsia" w:ascii="Arial" w:eastAsia="等线"/>
                <w:b w:val="0"/>
                <w:i w:val="0"/>
                <w:color w:val="000000"/>
                <w:sz w:val="22"/>
                <w:lang w:val="en-US" w:eastAsia="zh-CN"/>
              </w:rPr>
              <w:t xml:space="preserve">   </w:t>
            </w:r>
            <w:bookmarkStart w:id="0" w:name="_GoBack"/>
            <w:bookmarkEnd w:id="0"/>
          </w:p>
        </w:tc>
      </w:tr>
      <w:tr w14:paraId="2299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80D9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D55F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25F0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  <w:r>
              <w:rPr>
                <w:rFonts w:hint="eastAsia" w:ascii="Arial"/>
                <w:b w:val="0"/>
                <w:i w:val="0"/>
                <w:color w:val="000000"/>
                <w:sz w:val="22"/>
                <w:lang w:val="en-US" w:eastAsia="zh-CN"/>
              </w:rPr>
              <w:t>: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享用扬州特色淮扬菜</w:t>
            </w:r>
          </w:p>
        </w:tc>
      </w:tr>
      <w:tr w14:paraId="271CF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D673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110E1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32B56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返回酒店，住宿扬州市区全季酒店或同级</w:t>
            </w:r>
          </w:p>
        </w:tc>
      </w:tr>
      <w:tr w14:paraId="04B7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4C78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3月24日</w:t>
            </w:r>
          </w:p>
        </w:tc>
        <w:tc>
          <w:tcPr>
            <w:tcW w:w="8567" w:type="dxa"/>
            <w:gridSpan w:val="2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95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扬州｜瘦西湖·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双博馆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古运河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个园</w:t>
            </w:r>
          </w:p>
        </w:tc>
      </w:tr>
      <w:tr w14:paraId="3490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830C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A85B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EB8B6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3F92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EB95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A440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F28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游览瘦西湖，游览3小时</w:t>
            </w:r>
          </w:p>
        </w:tc>
      </w:tr>
      <w:tr w14:paraId="1751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0D87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E562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4B638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63F0E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D84C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264D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9EF8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游览扬州博物馆·中国雕版印刷博物馆，游览2小时</w:t>
            </w:r>
          </w:p>
        </w:tc>
      </w:tr>
      <w:tr w14:paraId="491FB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6650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56CC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DB167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游览个园，游览1.5小时</w:t>
            </w:r>
          </w:p>
        </w:tc>
      </w:tr>
      <w:tr w14:paraId="03CB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1D998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18C37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C2A7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前往古运河沿岸自由活动，游览1小时</w:t>
            </w:r>
          </w:p>
        </w:tc>
      </w:tr>
      <w:tr w14:paraId="18A0F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71182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6E5A7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17:30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FE1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7C88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2968B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CA8A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08BEC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返回酒店，住宿扬州市区全季酒店或同级</w:t>
            </w:r>
          </w:p>
        </w:tc>
      </w:tr>
      <w:tr w14:paraId="73AA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79DD4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3月25日</w:t>
            </w:r>
          </w:p>
        </w:tc>
        <w:tc>
          <w:tcPr>
            <w:tcW w:w="8567" w:type="dxa"/>
            <w:gridSpan w:val="2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3119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扬州→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无锡拈花湾｜何园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·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日式下午茶</w:t>
            </w:r>
          </w:p>
        </w:tc>
      </w:tr>
      <w:tr w14:paraId="7F6F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38C4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B41A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CA6C4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hAnsi="Arial" w:eastAsia="等线" w:cs="Arial"/>
                <w:b w:val="0"/>
                <w:i w:val="0"/>
                <w:color w:val="000000"/>
                <w:sz w:val="22"/>
                <w:szCs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1C3C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ECBF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1774F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30E8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游览何园，游览1.5小时</w:t>
            </w:r>
          </w:p>
        </w:tc>
      </w:tr>
      <w:tr w14:paraId="52371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E2B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CFACA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10:30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9027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前往无锡，车程180km/2.5小时</w:t>
            </w:r>
          </w:p>
        </w:tc>
      </w:tr>
      <w:tr w14:paraId="20959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4204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0F4EA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00FD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7B58A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6A54F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91A7F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8CDF9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入住拈花湾客栈</w:t>
            </w:r>
          </w:p>
        </w:tc>
      </w:tr>
      <w:tr w14:paraId="57FDA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DDC8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9BF1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0B7FD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体验日式客栈下午茶，体验1.5小时</w:t>
            </w:r>
          </w:p>
        </w:tc>
      </w:tr>
      <w:tr w14:paraId="4129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F496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370B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01B16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在拈花湾内晚餐</w:t>
            </w:r>
          </w:p>
        </w:tc>
      </w:tr>
      <w:tr w14:paraId="54B6B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4F65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6A25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A7B1E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自由观光、看夜景，自行返回酒店</w:t>
            </w:r>
          </w:p>
        </w:tc>
      </w:tr>
      <w:tr w14:paraId="763C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0263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E5CF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FE1D5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住宿无锡拈花客栈/日式客栈/波罗蜜多</w:t>
            </w:r>
          </w:p>
        </w:tc>
      </w:tr>
      <w:tr w14:paraId="7D22A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35EF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3月26日</w:t>
            </w:r>
          </w:p>
        </w:tc>
        <w:tc>
          <w:tcPr>
            <w:tcW w:w="8567" w:type="dxa"/>
            <w:gridSpan w:val="2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902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无锡｜鼋头渚樱花·拈花湾</w:t>
            </w:r>
          </w:p>
        </w:tc>
      </w:tr>
      <w:tr w14:paraId="2082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1492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DEE1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9A60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483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FD66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03B2C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11A6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游览太湖鼋头渚，游览4小时（含游船+太湖仙岛）</w:t>
            </w:r>
          </w:p>
        </w:tc>
      </w:tr>
      <w:tr w14:paraId="43F9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0AC06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8878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20E8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7395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2E1A3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8BD6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8CA0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游览拈花湾，游览3小时</w:t>
            </w:r>
          </w:p>
        </w:tc>
      </w:tr>
      <w:tr w14:paraId="32E2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9965E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5DD7A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0FCE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自由观光、看夜景，自行返回酒店</w:t>
            </w:r>
          </w:p>
        </w:tc>
      </w:tr>
      <w:tr w14:paraId="0E613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D1313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D483E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17:00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6D26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47C6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4FDF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367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11472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住宿无锡拈花客栈/日式客栈/波罗蜜多</w:t>
            </w:r>
          </w:p>
        </w:tc>
      </w:tr>
      <w:tr w14:paraId="3D1B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DC37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3月27日</w:t>
            </w:r>
          </w:p>
        </w:tc>
        <w:tc>
          <w:tcPr>
            <w:tcW w:w="8567" w:type="dxa"/>
            <w:gridSpan w:val="2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E7FA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无锡｜灵山大佛·惠山古镇→周庄</w:t>
            </w:r>
          </w:p>
        </w:tc>
      </w:tr>
      <w:tr w14:paraId="5818F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792A7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22ED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C9AE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116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360B0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DAA53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EB4A1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游览灵山大佛，游览3小时</w:t>
            </w:r>
          </w:p>
        </w:tc>
      </w:tr>
      <w:tr w14:paraId="1EF2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198E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44308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0A141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2B84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F7FD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75C0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1756A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游览惠山古镇，游览1.5小时</w:t>
            </w:r>
          </w:p>
        </w:tc>
      </w:tr>
      <w:tr w14:paraId="767E9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AE2B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13B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9281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前往周庄，车程60km/1.5小时</w:t>
            </w:r>
          </w:p>
        </w:tc>
      </w:tr>
      <w:tr w14:paraId="3E2C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64C3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8605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17:00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2BE63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办理入住后自由活动，看周庄夜景</w:t>
            </w:r>
          </w:p>
        </w:tc>
      </w:tr>
      <w:tr w14:paraId="0CDFF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02AB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07A23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1EA8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74CD5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CA4A4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BD5D4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B29F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住宿周庄古镇内客栈</w:t>
            </w:r>
          </w:p>
        </w:tc>
      </w:tr>
      <w:tr w14:paraId="4005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5845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3月28日</w:t>
            </w:r>
          </w:p>
        </w:tc>
        <w:tc>
          <w:tcPr>
            <w:tcW w:w="8567" w:type="dxa"/>
            <w:gridSpan w:val="2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05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周庄→杭州·小河直街·运河</w:t>
            </w:r>
          </w:p>
        </w:tc>
      </w:tr>
      <w:tr w14:paraId="557C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9D4BB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4B78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9F4A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45E3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2FA5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4F9B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ED6AF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游览周庄，游览3小时</w:t>
            </w:r>
          </w:p>
        </w:tc>
      </w:tr>
      <w:tr w14:paraId="0D52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CA123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194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E9FC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3061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D93D1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0227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13:00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78DD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前往杭州，车程180km/2.5小时</w:t>
            </w:r>
          </w:p>
        </w:tc>
      </w:tr>
      <w:tr w14:paraId="750D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B815E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5C59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5919B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游览小河直街，游览1小时</w:t>
            </w:r>
          </w:p>
        </w:tc>
      </w:tr>
      <w:tr w14:paraId="51DF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A2B8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B6EAA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CAC0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游览京杭大运河杭州段·拱宸桥，游览1小时</w:t>
            </w:r>
          </w:p>
        </w:tc>
      </w:tr>
      <w:tr w14:paraId="1941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2B21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53CC8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E14E0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6D36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DD429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67B5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94043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返回酒店，住宿杭州市区运河边全季酒店或同级</w:t>
            </w:r>
          </w:p>
        </w:tc>
      </w:tr>
      <w:tr w14:paraId="3C6E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722C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3月29日</w:t>
            </w:r>
          </w:p>
        </w:tc>
        <w:tc>
          <w:tcPr>
            <w:tcW w:w="8567" w:type="dxa"/>
            <w:gridSpan w:val="2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B3A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杭州｜四大博物馆联游</w:t>
            </w:r>
          </w:p>
        </w:tc>
      </w:tr>
      <w:tr w14:paraId="0D19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F6839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995F2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F029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7BFF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73F77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A4C6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199EA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游览中国京杭大运河博物馆，游览1.5小时</w:t>
            </w:r>
          </w:p>
        </w:tc>
      </w:tr>
      <w:tr w14:paraId="3C17A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892C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18AF9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11:00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5FCFD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游览中国伞博物馆，游览1小时</w:t>
            </w:r>
          </w:p>
        </w:tc>
      </w:tr>
      <w:tr w14:paraId="415E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833CD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222F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AB194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4810C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8D85B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F0529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BC72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游览中国扇博物馆，游览1.5小时</w:t>
            </w:r>
          </w:p>
        </w:tc>
      </w:tr>
      <w:tr w14:paraId="029D1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9B628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B0C9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1622E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游览中国丝绸博物馆，游览1.5小时</w:t>
            </w:r>
          </w:p>
        </w:tc>
      </w:tr>
      <w:tr w14:paraId="5ACF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4F718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7124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BEDEC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22F8A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CE04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B844C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ACD38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返回酒店，住宿杭州市区运河边全季酒店或同级</w:t>
            </w:r>
          </w:p>
        </w:tc>
      </w:tr>
      <w:tr w14:paraId="03156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933A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3月30日</w:t>
            </w:r>
          </w:p>
        </w:tc>
        <w:tc>
          <w:tcPr>
            <w:tcW w:w="8567" w:type="dxa"/>
            <w:gridSpan w:val="2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CF0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千岛湖｜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观光</w:t>
            </w: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游</w:t>
            </w:r>
          </w:p>
        </w:tc>
      </w:tr>
      <w:tr w14:paraId="655F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EEBD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AC7B0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E3D4B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出发前往千岛湖，车程160km/2.5小时</w:t>
            </w:r>
          </w:p>
        </w:tc>
      </w:tr>
      <w:tr w14:paraId="2073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ED9A4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CF585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11:00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DB0F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办理入住</w:t>
            </w:r>
          </w:p>
        </w:tc>
      </w:tr>
      <w:tr w14:paraId="179A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8960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8336B6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A6F7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午餐</w:t>
            </w:r>
          </w:p>
        </w:tc>
      </w:tr>
      <w:tr w14:paraId="20B4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4BB93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DD015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BCD05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游览天屿山观景台，游览1.5小时</w:t>
            </w:r>
          </w:p>
        </w:tc>
      </w:tr>
      <w:tr w14:paraId="13664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F20E3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D479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E2D3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逛骑龙巷文创街区，游览1小时</w:t>
            </w:r>
          </w:p>
        </w:tc>
      </w:tr>
      <w:tr w14:paraId="7EE7A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C3404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6B705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D984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啤酒小镇自由活动</w:t>
            </w:r>
          </w:p>
        </w:tc>
      </w:tr>
      <w:tr w14:paraId="0247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283F2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652D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EC816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享用千岛湖有机鱼头晚餐</w:t>
            </w:r>
          </w:p>
        </w:tc>
      </w:tr>
      <w:tr w14:paraId="3D3C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7CCF3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3730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F262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返回酒店，住宿千岛湖假日酒店或同级</w:t>
            </w:r>
          </w:p>
        </w:tc>
      </w:tr>
      <w:tr w14:paraId="4711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AA5DE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3月31日</w:t>
            </w:r>
          </w:p>
        </w:tc>
        <w:tc>
          <w:tcPr>
            <w:tcW w:w="8567" w:type="dxa"/>
            <w:gridSpan w:val="2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2B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千岛湖｜中心湖区深度游</w:t>
            </w:r>
          </w:p>
        </w:tc>
      </w:tr>
      <w:tr w14:paraId="6AB9A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0F1353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A30D6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4D3E4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出发</w:t>
            </w:r>
          </w:p>
        </w:tc>
      </w:tr>
      <w:tr w14:paraId="26D6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045F8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F189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09:00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86F035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乘千岛湖中心湖区游船，游览5小时</w:t>
            </w:r>
          </w:p>
        </w:tc>
      </w:tr>
      <w:tr w14:paraId="647E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40611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B69B8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8B147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返回码头</w:t>
            </w:r>
          </w:p>
        </w:tc>
      </w:tr>
      <w:tr w14:paraId="4559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4777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B3A6D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5CDF2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自由活动（环湖休闲）</w:t>
            </w:r>
          </w:p>
        </w:tc>
      </w:tr>
      <w:tr w14:paraId="4E0BF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C583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2E029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18:00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E277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晚餐</w:t>
            </w:r>
          </w:p>
        </w:tc>
      </w:tr>
      <w:tr w14:paraId="773D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79228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CD5EA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19:00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00F3F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返回酒店，住宿千岛湖假日酒店或同级</w:t>
            </w:r>
          </w:p>
        </w:tc>
      </w:tr>
      <w:tr w14:paraId="54F57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restart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70A254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  <w:r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  <w:t>4月1日</w:t>
            </w:r>
          </w:p>
        </w:tc>
        <w:tc>
          <w:tcPr>
            <w:tcW w:w="8567" w:type="dxa"/>
            <w:gridSpan w:val="2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9DFF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千岛湖→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杭州机场</w:t>
            </w:r>
            <w:r>
              <w:rPr>
                <w:rFonts w:hint="default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→</w:t>
            </w:r>
            <w:r>
              <w:rPr>
                <w:rFonts w:hint="eastAsia" w:ascii="Arial" w:hAnsi="等线" w:eastAsia="等线" w:cs="等线"/>
                <w:b/>
                <w:bCs w:val="0"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成都</w:t>
            </w:r>
          </w:p>
        </w:tc>
      </w:tr>
      <w:tr w14:paraId="39EF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CF521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single" w:color="auto" w:sz="4" w:space="0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B864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08:30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E288EB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退房</w:t>
            </w:r>
            <w:r>
              <w:rPr>
                <w:rFonts w:hint="eastAsia"/>
                <w:b w:val="0"/>
                <w:i w:val="0"/>
                <w:color w:val="000000"/>
                <w:sz w:val="22"/>
                <w:lang w:val="en-US" w:eastAsia="zh-CN"/>
              </w:rPr>
              <w:t>,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前往杭州萧山国际机场，车程200km/3小时</w:t>
            </w:r>
          </w:p>
        </w:tc>
      </w:tr>
      <w:tr w14:paraId="6BA7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4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EF7040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5046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12:00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AD4557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抵达机场</w:t>
            </w:r>
          </w:p>
        </w:tc>
      </w:tr>
      <w:tr w14:paraId="2D07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4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8DFC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2BC49E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参考航班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nil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4B9ACC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厦门航空MF8495（蒲山T3→天府T2）</w:t>
            </w:r>
            <w:r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14:55起飞</w:t>
            </w:r>
          </w:p>
          <w:p w14:paraId="1E587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中国国航CA1749（萧山T4→双流T2）</w:t>
            </w:r>
            <w:r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15:00起飞</w:t>
            </w:r>
          </w:p>
          <w:p w14:paraId="55B23A62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中国国航CA1743（萧山T4→双流T2）</w:t>
            </w:r>
            <w:r>
              <w:rPr>
                <w:rFonts w:hint="eastAsia" w:ascii="Arial" w:eastAsia="等线"/>
                <w:b w:val="0"/>
                <w:i w:val="0"/>
                <w:color w:val="000000"/>
                <w:sz w:val="22"/>
                <w:lang w:eastAsia="zh-CN"/>
              </w:rPr>
              <w:t>，</w:t>
            </w: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16:00起飞</w:t>
            </w:r>
          </w:p>
        </w:tc>
      </w:tr>
      <w:tr w14:paraId="5385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304" w:type="dxa"/>
            <w:vMerge w:val="continue"/>
            <w:tcBorders>
              <w:top w:val="nil"/>
              <w:left w:val="single" w:color="4F81BD" w:themeColor="accent1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6268D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/>
                <w:bCs w:val="0"/>
                <w:i w:val="0"/>
                <w:color w:val="auto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single" w:color="B8CCE4" w:themeColor="accent1" w:themeTint="66" w:sz="6" w:space="0"/>
              <w:bottom w:val="single" w:color="4F81BD" w:themeColor="accent1" w:sz="6" w:space="0"/>
              <w:right w:val="single" w:color="B8CCE4" w:themeColor="accent1" w:themeTint="66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3595F">
            <w:pPr>
              <w:pStyle w:val="1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Arial" w:eastAsia="等线"/>
                <w:b w:val="0"/>
                <w:i w:val="0"/>
                <w:color w:val="000000"/>
                <w:sz w:val="22"/>
              </w:rPr>
            </w:pPr>
            <w:r>
              <w:rPr>
                <w:rFonts w:ascii="Arial" w:eastAsia="等线"/>
                <w:b w:val="0"/>
                <w:i w:val="0"/>
                <w:color w:val="000000"/>
                <w:sz w:val="22"/>
              </w:rPr>
              <w:t>-</w:t>
            </w:r>
          </w:p>
        </w:tc>
        <w:tc>
          <w:tcPr>
            <w:tcW w:w="7351" w:type="dxa"/>
            <w:tcBorders>
              <w:top w:val="nil"/>
              <w:left w:val="single" w:color="B8CCE4" w:themeColor="accent1" w:themeTint="66" w:sz="6" w:space="0"/>
              <w:bottom w:val="single" w:color="4F81BD" w:themeColor="accent1" w:sz="6" w:space="0"/>
              <w:right w:val="single" w:color="4F81BD" w:themeColor="accent1" w:sz="6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689B58">
            <w:pPr>
              <w:pStyle w:val="17"/>
              <w:bidi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ascii="Arial" w:eastAsia="等线"/>
                <w:b w:val="0"/>
                <w:i w:val="0"/>
                <w:sz w:val="22"/>
              </w:rPr>
            </w:pPr>
            <w:r>
              <w:rPr>
                <w:rFonts w:ascii="Arial" w:hAnsi="Arial" w:eastAsia="等线" w:cs="Arial"/>
                <w:b w:val="0"/>
                <w:i w:val="0"/>
                <w:color w:val="auto"/>
                <w:sz w:val="22"/>
                <w:szCs w:val="22"/>
              </w:rPr>
              <w:t>乘航班返回成都，结束江南之旅</w:t>
            </w:r>
          </w:p>
        </w:tc>
      </w:tr>
    </w:tbl>
    <w:p w14:paraId="3E57C1BC">
      <w:pPr>
        <w:pStyle w:val="16"/>
      </w:pPr>
    </w:p>
    <w:sectPr>
      <w:pgSz w:w="11906" w:h="16838"/>
      <w:pgMar w:top="1020" w:right="1134" w:bottom="1020" w:left="1134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EEAC206-1BBC-4BF5-BE59-248C0D7522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2" w:fontKey="{ADE7B304-C1B8-46A7-B674-0FB6D5A65F6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E9404EC4-D84E-43C0-B529-ACB021C94976}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保护眼睛阅读楷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汉仪雅酷黑-95J">
    <w:panose1 w:val="00020600040101010101"/>
    <w:charset w:val="86"/>
    <w:family w:val="auto"/>
    <w:pitch w:val="default"/>
    <w:sig w:usb0="A00002FF" w:usb1="0AC17CFA" w:usb2="00000016" w:usb3="00000000" w:csb0="2004000F" w:csb1="00000000"/>
    <w:embedRegular r:id="rId4" w:fontKey="{43D18F98-C6C5-4FFB-9941-867FD406F1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5EC62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1042</Words>
  <Characters>1438</Characters>
  <TotalTime>3</TotalTime>
  <ScaleCrop>false</ScaleCrop>
  <LinksUpToDate>false</LinksUpToDate>
  <CharactersWithSpaces>1438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2026-03-08T13:58:00Z</dcterms:created>
  <dc:creator>Un-named</dc:creator>
  <cp:lastModifiedBy>青旅总部阿宝</cp:lastModifiedBy>
  <dcterms:modified xsi:type="dcterms:W3CDTF">2026-03-08T14:36:49Z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eyJoZGlkIjoiMTU2NDNjMDEyMTIxMmRiOTZjZWVmYmY3Zjg4MWY0MTIiLCJ1c2VySWQiOiIyNzA2MDQ4NSJ9</vt:lpwstr>
  </property>
  <property fmtid="{D5CDD505-2E9C-101B-9397-08002B2CF9AE}" pid="3" name="KSOProductBuildVer">
    <vt:lpwstr>2052-12.1.0.25225</vt:lpwstr>
  </property>
  <property fmtid="{D5CDD505-2E9C-101B-9397-08002B2CF9AE}" pid="4" name="ICV">
    <vt:lpwstr>1D0FBE19C16246628CB403654676D2A5_13</vt:lpwstr>
  </property>
</Properties>
</file>