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96FA4">
      <w:pPr>
        <w:keepNext w:val="0"/>
        <w:keepLines w:val="0"/>
        <w:pageBreakBefore w:val="0"/>
        <w:kinsoku/>
        <w:wordWrap/>
        <w:overflowPunct/>
        <w:topLinePunct w:val="0"/>
        <w:autoSpaceDN/>
        <w:bidi w:val="0"/>
        <w:adjustRightInd w:val="0"/>
        <w:snapToGrid w:val="0"/>
        <w:spacing w:line="240" w:lineRule="auto"/>
        <w:jc w:val="center"/>
        <w:textAlignment w:val="auto"/>
        <w:rPr>
          <w:rFonts w:hint="default" w:ascii="微软雅黑" w:hAnsi="微软雅黑" w:eastAsia="微软雅黑" w:cs="微软雅黑"/>
          <w:b/>
          <w:bCs/>
          <w:sz w:val="84"/>
          <w:szCs w:val="84"/>
          <w:lang w:val="en-US" w:eastAsia="zh-CN"/>
          <w14:textFill>
            <w14:gradFill>
              <w14:gsLst>
                <w14:gs w14:pos="67000">
                  <w14:srgbClr w14:val="4073A4"/>
                </w14:gs>
                <w14:gs w14:pos="5000">
                  <w14:srgbClr w14:val="EBB78F"/>
                </w14:gs>
                <w14:gs w14:pos="97000">
                  <w14:srgbClr w14:val="0C4B7D"/>
                </w14:gs>
              </w14:gsLst>
              <w14:lin w14:ang="5040000" w14:scaled="0"/>
            </w14:gradFill>
          </w14:textFill>
        </w:rPr>
      </w:pPr>
      <w:bookmarkStart w:id="0" w:name="_GoBack"/>
      <w:bookmarkEnd w:id="0"/>
      <w:r>
        <w:rPr>
          <w:rFonts w:hint="eastAsia" w:ascii="微软雅黑" w:hAnsi="微软雅黑" w:eastAsia="微软雅黑" w:cs="微软雅黑"/>
          <w:b/>
          <w:bCs/>
          <w:sz w:val="84"/>
          <w:szCs w:val="84"/>
          <w:lang w:val="en-US" w:eastAsia="zh-CN"/>
          <w14:textFill>
            <w14:gradFill>
              <w14:gsLst>
                <w14:gs w14:pos="50000">
                  <w14:srgbClr w14:val="BB59BC"/>
                </w14:gs>
                <w14:gs w14:pos="100000">
                  <w14:srgbClr w14:val="425CCA"/>
                </w14:gs>
                <w14:gs w14:pos="0">
                  <w14:srgbClr w14:val="F7CC7E"/>
                </w14:gs>
              </w14:gsLst>
              <w14:lin w14:ang="2580000" w14:scaled="1"/>
            </w14:gradFill>
          </w14:textFill>
        </w:rPr>
        <w:t>君临江南</w:t>
      </w:r>
    </w:p>
    <w:p w14:paraId="70304A06">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微软雅黑" w:hAnsi="微软雅黑" w:eastAsia="微软雅黑" w:cs="微软雅黑"/>
          <w:b/>
          <w:bCs/>
          <w:color w:val="auto"/>
          <w:sz w:val="30"/>
          <w:szCs w:val="30"/>
          <w:lang w:val="en-US" w:eastAsia="zh-CN"/>
          <w14:textFill>
            <w14:gradFill>
              <w14:gsLst>
                <w14:gs w14:pos="50000">
                  <w14:srgbClr w14:val="BB59BC"/>
                </w14:gs>
                <w14:gs w14:pos="100000">
                  <w14:srgbClr w14:val="425CCA"/>
                </w14:gs>
                <w14:gs w14:pos="0">
                  <w14:srgbClr w14:val="F7CC7E"/>
                </w14:gs>
              </w14:gsLst>
              <w14:lin w14:ang="2580000" w14:scaled="1"/>
            </w14:gradFill>
          </w14:textFill>
        </w:rPr>
      </w:pPr>
      <w:r>
        <w:rPr>
          <w:rFonts w:hint="eastAsia" w:ascii="微软雅黑" w:hAnsi="微软雅黑" w:eastAsia="微软雅黑" w:cs="微软雅黑"/>
          <w:b/>
          <w:bCs/>
          <w:color w:val="auto"/>
          <w:sz w:val="30"/>
          <w:szCs w:val="30"/>
          <w:lang w:val="en-US" w:eastAsia="zh-CN"/>
          <w14:textFill>
            <w14:gradFill>
              <w14:gsLst>
                <w14:gs w14:pos="50000">
                  <w14:srgbClr w14:val="BB59BC"/>
                </w14:gs>
                <w14:gs w14:pos="100000">
                  <w14:srgbClr w14:val="425CCA"/>
                </w14:gs>
                <w14:gs w14:pos="0">
                  <w14:srgbClr w14:val="F7CC7E"/>
                </w14:gs>
              </w14:gsLst>
              <w14:lin w14:ang="2580000" w14:scaled="1"/>
            </w14:gradFill>
          </w14:textFill>
        </w:rPr>
        <w:t>★ 双飞5天4晚 ★</w:t>
      </w:r>
    </w:p>
    <w:p w14:paraId="28C63326">
      <w:pPr>
        <w:keepNext w:val="0"/>
        <w:keepLines w:val="0"/>
        <w:pageBreakBefore w:val="0"/>
        <w:kinsoku/>
        <w:wordWrap/>
        <w:overflowPunct/>
        <w:topLinePunct w:val="0"/>
        <w:autoSpaceDN/>
        <w:bidi w:val="0"/>
        <w:adjustRightInd w:val="0"/>
        <w:snapToGrid w:val="0"/>
        <w:spacing w:line="240" w:lineRule="auto"/>
        <w:jc w:val="center"/>
        <w:textAlignment w:val="auto"/>
        <w:rPr>
          <w:rFonts w:hint="eastAsia" w:ascii="微软雅黑" w:hAnsi="微软雅黑" w:eastAsia="微软雅黑" w:cs="微软雅黑"/>
          <w:b/>
          <w:bCs/>
          <w:color w:val="auto"/>
          <w:sz w:val="30"/>
          <w:szCs w:val="30"/>
          <w:lang w:val="en-US" w:eastAsia="zh-CN"/>
          <w14:textFill>
            <w14:gradFill>
              <w14:gsLst>
                <w14:gs w14:pos="50000">
                  <w14:srgbClr w14:val="BB59BC"/>
                </w14:gs>
                <w14:gs w14:pos="100000">
                  <w14:srgbClr w14:val="425CCA"/>
                </w14:gs>
                <w14:gs w14:pos="0">
                  <w14:srgbClr w14:val="F7CC7E"/>
                </w14:gs>
              </w14:gsLst>
              <w14:lin w14:ang="2580000" w14:scaled="1"/>
            </w14:gradFill>
          </w14:textFill>
        </w:rPr>
      </w:pPr>
      <w:r>
        <w:rPr>
          <w:rFonts w:hint="eastAsia" w:ascii="微软雅黑" w:hAnsi="微软雅黑" w:eastAsia="微软雅黑" w:cs="微软雅黑"/>
          <w:b/>
          <w:bCs/>
          <w:color w:val="auto"/>
          <w:sz w:val="30"/>
          <w:szCs w:val="30"/>
          <w:lang w:val="en-US" w:eastAsia="zh-CN"/>
          <w14:textFill>
            <w14:gradFill>
              <w14:gsLst>
                <w14:gs w14:pos="50000">
                  <w14:srgbClr w14:val="BB59BC"/>
                </w14:gs>
                <w14:gs w14:pos="100000">
                  <w14:srgbClr w14:val="425CCA"/>
                </w14:gs>
                <w14:gs w14:pos="0">
                  <w14:srgbClr w14:val="F7CC7E"/>
                </w14:gs>
              </w14:gsLst>
              <w14:lin w14:ang="2580000" w14:scaled="1"/>
            </w14:gradFill>
          </w14:textFill>
        </w:rPr>
        <w:t>上海|南京|无锡|苏州|杭州|乌镇</w:t>
      </w:r>
    </w:p>
    <w:p w14:paraId="14CBF6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b/>
          <w:bCs/>
          <w:color w:val="E46C0A" w:themeColor="accent6" w:themeShade="BF"/>
          <w:sz w:val="28"/>
          <w:szCs w:val="28"/>
          <w:lang w:val="en-US" w:eastAsia="zh-CN"/>
        </w:rPr>
      </w:pPr>
      <w:r>
        <w:rPr>
          <w:rFonts w:hint="eastAsia" w:ascii="微软雅黑" w:hAnsi="微软雅黑" w:eastAsia="微软雅黑" w:cs="微软雅黑"/>
          <w:b/>
          <w:bCs/>
          <w:color w:val="E46C0A" w:themeColor="accent6" w:themeShade="BF"/>
          <w:sz w:val="28"/>
          <w:szCs w:val="28"/>
          <w:lang w:eastAsia="zh-CN"/>
        </w:rPr>
        <w:t>全程5钻奢豪住宿·一晚乌镇五钻、</w:t>
      </w:r>
      <w:r>
        <w:rPr>
          <w:rFonts w:hint="eastAsia" w:ascii="微软雅黑" w:hAnsi="微软雅黑" w:eastAsia="微软雅黑" w:cs="微软雅黑"/>
          <w:b/>
          <w:bCs/>
          <w:color w:val="E46C0A" w:themeColor="accent6" w:themeShade="BF"/>
          <w:sz w:val="28"/>
          <w:szCs w:val="28"/>
          <w:lang w:val="en-US" w:eastAsia="zh-CN"/>
        </w:rPr>
        <w:t>纯玩0购物</w:t>
      </w:r>
    </w:p>
    <w:p w14:paraId="3E0A3940">
      <w:pPr>
        <w:keepNext w:val="0"/>
        <w:keepLines w:val="0"/>
        <w:pageBreakBefore w:val="0"/>
        <w:widowControl w:val="0"/>
        <w:kinsoku/>
        <w:wordWrap/>
        <w:overflowPunct/>
        <w:topLinePunct w:val="0"/>
        <w:autoSpaceDE/>
        <w:autoSpaceDN/>
        <w:bidi w:val="0"/>
        <w:adjustRightInd w:val="0"/>
        <w:snapToGrid w:val="0"/>
        <w:spacing w:line="240" w:lineRule="auto"/>
        <w:ind w:left="-1" w:leftChars="-95" w:right="-334" w:rightChars="-159" w:hanging="198" w:hangingChars="55"/>
        <w:jc w:val="center"/>
        <w:textAlignment w:val="auto"/>
        <w:rPr>
          <w:rFonts w:hint="eastAsia" w:ascii="微软雅黑" w:hAnsi="微软雅黑" w:eastAsia="微软雅黑" w:cs="微软雅黑"/>
          <w:b/>
          <w:bCs/>
          <w:color w:val="366091" w:themeColor="accent1" w:themeShade="BF"/>
          <w:sz w:val="36"/>
          <w:szCs w:val="36"/>
          <w:lang w:val="en-US" w:eastAsia="zh-CN"/>
          <w14:textFill>
            <w14:gradFill>
              <w14:gsLst>
                <w14:gs w14:pos="42000">
                  <w14:srgbClr w14:val="EC5763"/>
                </w14:gs>
                <w14:gs w14:pos="0">
                  <w14:srgbClr w14:val="F28F97"/>
                </w14:gs>
                <w14:gs w14:pos="100000">
                  <w14:srgbClr w14:val="E51E2E"/>
                </w14:gs>
              </w14:gsLst>
              <w14:lin w14:ang="5400000" w14:scaled="1"/>
            </w14:gradFill>
          </w14:textFill>
        </w:rPr>
      </w:pPr>
      <w:r>
        <w:rPr>
          <w:rFonts w:hint="eastAsia" w:ascii="微软雅黑" w:hAnsi="微软雅黑" w:eastAsia="微软雅黑" w:cs="微软雅黑"/>
          <w:b/>
          <w:bCs/>
          <w:color w:val="366091" w:themeColor="accent1" w:themeShade="BF"/>
          <w:sz w:val="36"/>
          <w:szCs w:val="36"/>
          <w:lang w:val="en-US" w:eastAsia="zh-CN"/>
          <w14:textFill>
            <w14:gradFill>
              <w14:gsLst>
                <w14:gs w14:pos="42000">
                  <w14:srgbClr w14:val="EC5763"/>
                </w14:gs>
                <w14:gs w14:pos="0">
                  <w14:srgbClr w14:val="F28F97"/>
                </w14:gs>
                <w14:gs w14:pos="100000">
                  <w14:srgbClr w14:val="E51E2E"/>
                </w14:gs>
              </w14:gsLst>
              <w14:lin w14:ang="5400000" w14:scaled="1"/>
            </w14:gradFill>
          </w14:textFill>
        </w:rPr>
        <w:t>&lt;限量16成人小团+豪华头等舱座椅+全程豪华网评5钻酒店+1晚住乌镇内客栈+50高餐标餐全含&gt;</w:t>
      </w:r>
    </w:p>
    <w:p w14:paraId="04CC04A1">
      <w:pPr>
        <w:pStyle w:val="14"/>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color w:val="376092" w:themeColor="accent1" w:themeShade="BF"/>
        </w:rPr>
      </w:pPr>
    </w:p>
    <w:p w14:paraId="7EBE4EEB">
      <w:pPr>
        <w:keepNext w:val="0"/>
        <w:keepLines w:val="0"/>
        <w:pageBreakBefore w:val="0"/>
        <w:kinsoku/>
        <w:wordWrap/>
        <w:overflowPunct/>
        <w:topLinePunct w:val="0"/>
        <w:autoSpaceDN/>
        <w:bidi w:val="0"/>
        <w:adjustRightInd w:val="0"/>
        <w:snapToGrid w:val="0"/>
        <w:spacing w:line="240" w:lineRule="auto"/>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4"/>
        </w:rPr>
        <w:drawing>
          <wp:inline distT="0" distB="0" distL="114300" distR="114300">
            <wp:extent cx="1914525" cy="410210"/>
            <wp:effectExtent l="0" t="0" r="0" b="1270"/>
            <wp:docPr id="7" name="图片 7"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未标题-2"/>
                    <pic:cNvPicPr>
                      <a:picLocks noChangeAspect="1"/>
                    </pic:cNvPicPr>
                  </pic:nvPicPr>
                  <pic:blipFill>
                    <a:blip r:embed="rId5"/>
                    <a:stretch>
                      <a:fillRect/>
                    </a:stretch>
                  </pic:blipFill>
                  <pic:spPr>
                    <a:xfrm>
                      <a:off x="0" y="0"/>
                      <a:ext cx="1914525" cy="410210"/>
                    </a:xfrm>
                    <a:prstGeom prst="rect">
                      <a:avLst/>
                    </a:prstGeom>
                  </pic:spPr>
                </pic:pic>
              </a:graphicData>
            </a:graphic>
          </wp:inline>
        </w:drawing>
      </w:r>
    </w:p>
    <w:p w14:paraId="36B38606">
      <w:pPr>
        <w:keepNext w:val="0"/>
        <w:keepLines w:val="0"/>
        <w:pageBreakBefore w:val="0"/>
        <w:widowControl w:val="0"/>
        <w:numPr>
          <w:ilvl w:val="0"/>
          <w:numId w:val="0"/>
        </w:numPr>
        <w:kinsoku/>
        <w:wordWrap/>
        <w:overflowPunct/>
        <w:topLinePunct w:val="0"/>
        <w:bidi w:val="0"/>
        <w:adjustRightInd/>
        <w:snapToGrid/>
        <w:spacing w:line="500" w:lineRule="exact"/>
        <w:ind w:leftChars="0"/>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val="0"/>
          <w:color w:val="FFFFFF"/>
          <w:sz w:val="24"/>
          <w:szCs w:val="24"/>
          <w:highlight w:val="none"/>
          <w:u w:val="none"/>
          <w:shd w:val="clear" w:color="auto" w:fill="F79646"/>
          <w:lang w:val="en-US" w:eastAsia="zh-CN"/>
        </w:rPr>
        <w:t>【精华景区】</w:t>
      </w:r>
      <w:r>
        <w:rPr>
          <w:rFonts w:hint="eastAsia" w:ascii="微软雅黑" w:hAnsi="微软雅黑" w:eastAsia="微软雅黑" w:cs="微软雅黑"/>
          <w:b w:val="0"/>
          <w:bCs/>
          <w:color w:val="000000"/>
          <w:sz w:val="24"/>
          <w:szCs w:val="24"/>
          <w:lang w:eastAsia="zh-CN"/>
        </w:rPr>
        <w:t>：</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包含众多江南5A景区，中山陵、</w:t>
      </w:r>
      <w:r>
        <w:rPr>
          <w:rFonts w:hint="eastAsia" w:ascii="微软雅黑" w:hAnsi="微软雅黑" w:eastAsia="微软雅黑" w:cs="微软雅黑"/>
          <w:b/>
          <w:bCs/>
          <w:color w:val="FF0000"/>
          <w:sz w:val="24"/>
          <w:szCs w:val="24"/>
          <w:lang w:val="en-US" w:eastAsia="zh-CN"/>
        </w:rPr>
        <w:t>拈花湾</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观音寺</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乌镇</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西湖</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拙政园</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等，门票价值</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约</w:t>
      </w:r>
      <w:r>
        <w:rPr>
          <w:rFonts w:hint="eastAsia" w:ascii="微软雅黑" w:hAnsi="微软雅黑" w:eastAsia="微软雅黑" w:cs="微软雅黑"/>
          <w:b/>
          <w:bCs/>
          <w:color w:val="FF0000"/>
          <w:sz w:val="24"/>
          <w:szCs w:val="24"/>
          <w:lang w:val="en-US" w:eastAsia="zh-CN"/>
        </w:rPr>
        <w:t>500</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元！</w:t>
      </w:r>
    </w:p>
    <w:p w14:paraId="5FEA8374">
      <w:pPr>
        <w:keepNext w:val="0"/>
        <w:keepLines w:val="0"/>
        <w:pageBreakBefore w:val="0"/>
        <w:widowControl w:val="0"/>
        <w:numPr>
          <w:ilvl w:val="0"/>
          <w:numId w:val="0"/>
        </w:numPr>
        <w:kinsoku/>
        <w:wordWrap/>
        <w:overflowPunct/>
        <w:topLinePunct w:val="0"/>
        <w:bidi w:val="0"/>
        <w:adjustRightInd/>
        <w:snapToGrid/>
        <w:spacing w:line="500" w:lineRule="exact"/>
        <w:ind w:leftChars="0"/>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val="0"/>
          <w:color w:val="FFFFFF"/>
          <w:sz w:val="24"/>
          <w:szCs w:val="24"/>
          <w:highlight w:val="none"/>
          <w:u w:val="none"/>
          <w:shd w:val="clear" w:color="auto" w:fill="F79646"/>
          <w:lang w:val="en-US" w:eastAsia="zh-CN"/>
        </w:rPr>
        <w:t>【绝无必销】</w:t>
      </w:r>
      <w:r>
        <w:rPr>
          <w:rFonts w:hint="eastAsia" w:ascii="微软雅黑" w:hAnsi="微软雅黑" w:eastAsia="微软雅黑" w:cs="微软雅黑"/>
          <w:b w:val="0"/>
          <w:bCs/>
          <w:color w:val="000000"/>
          <w:sz w:val="24"/>
          <w:szCs w:val="24"/>
          <w:lang w:eastAsia="zh-CN"/>
        </w:rPr>
        <w:t>：</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我们承诺</w:t>
      </w:r>
      <w:r>
        <w:rPr>
          <w:rFonts w:hint="eastAsia" w:ascii="微软雅黑" w:hAnsi="微软雅黑" w:eastAsia="微软雅黑" w:cs="微软雅黑"/>
          <w:b/>
          <w:bCs/>
          <w:color w:val="FF0000"/>
          <w:sz w:val="24"/>
          <w:szCs w:val="24"/>
          <w:lang w:val="en-US" w:eastAsia="zh-CN"/>
        </w:rPr>
        <w:t>没有必须消费</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项目，</w:t>
      </w:r>
      <w:r>
        <w:rPr>
          <w:rFonts w:hint="eastAsia" w:ascii="微软雅黑" w:hAnsi="微软雅黑" w:eastAsia="微软雅黑" w:cs="微软雅黑"/>
          <w:b/>
          <w:bCs/>
          <w:color w:val="FF0000"/>
          <w:sz w:val="24"/>
          <w:szCs w:val="24"/>
          <w:lang w:val="en-US" w:eastAsia="zh-CN"/>
        </w:rPr>
        <w:t>必销全含</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，中山陵，周庄，西湖公交等</w:t>
      </w:r>
      <w:r>
        <w:rPr>
          <w:rFonts w:hint="eastAsia" w:ascii="微软雅黑" w:hAnsi="微软雅黑" w:eastAsia="微软雅黑" w:cs="微软雅黑"/>
          <w:b/>
          <w:bCs/>
          <w:color w:val="FF0000"/>
          <w:sz w:val="24"/>
          <w:szCs w:val="24"/>
          <w:lang w:val="en-US" w:eastAsia="zh-CN"/>
        </w:rPr>
        <w:t>必销已包含</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，价值60元/人</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p>
    <w:p w14:paraId="292D7DA3">
      <w:pPr>
        <w:keepNext w:val="0"/>
        <w:keepLines w:val="0"/>
        <w:pageBreakBefore w:val="0"/>
        <w:widowControl w:val="0"/>
        <w:numPr>
          <w:ilvl w:val="0"/>
          <w:numId w:val="0"/>
        </w:numPr>
        <w:kinsoku/>
        <w:wordWrap/>
        <w:overflowPunct/>
        <w:topLinePunct w:val="0"/>
        <w:bidi w:val="0"/>
        <w:adjustRightInd/>
        <w:snapToGrid/>
        <w:spacing w:line="500" w:lineRule="exact"/>
        <w:ind w:leftChars="0"/>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val="0"/>
          <w:color w:val="FFFFFF"/>
          <w:sz w:val="24"/>
          <w:szCs w:val="24"/>
          <w:highlight w:val="none"/>
          <w:u w:val="none"/>
          <w:shd w:val="clear" w:color="auto" w:fill="F79646"/>
          <w:lang w:val="en-US" w:eastAsia="zh-CN"/>
        </w:rPr>
        <w:t>【江南美食】</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：江南定制特色餐，</w:t>
      </w:r>
      <w:r>
        <w:rPr>
          <w:rFonts w:hint="eastAsia" w:ascii="微软雅黑" w:hAnsi="微软雅黑" w:eastAsia="微软雅黑" w:cs="微软雅黑"/>
          <w:b/>
          <w:bCs/>
          <w:color w:val="FF0000"/>
          <w:sz w:val="24"/>
          <w:szCs w:val="24"/>
          <w:lang w:val="en-US" w:eastAsia="zh-CN"/>
        </w:rPr>
        <w:t>正餐全含</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，高</w:t>
      </w:r>
      <w:r>
        <w:rPr>
          <w:rFonts w:hint="eastAsia" w:ascii="微软雅黑" w:hAnsi="微软雅黑" w:eastAsia="微软雅黑" w:cs="微软雅黑"/>
          <w:b/>
          <w:bCs/>
          <w:color w:val="FF0000"/>
          <w:sz w:val="24"/>
          <w:szCs w:val="24"/>
          <w:lang w:val="en-US" w:eastAsia="zh-CN"/>
        </w:rPr>
        <w:t>餐标50元</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/人，精选优质合作餐厅，</w:t>
      </w:r>
      <w:r>
        <w:rPr>
          <w:rFonts w:hint="eastAsia" w:ascii="微软雅黑" w:hAnsi="微软雅黑" w:eastAsia="微软雅黑" w:cs="微软雅黑"/>
          <w:b/>
          <w:bCs/>
          <w:color w:val="FF0000"/>
          <w:sz w:val="24"/>
          <w:szCs w:val="24"/>
          <w:lang w:val="en-US" w:eastAsia="zh-CN"/>
        </w:rPr>
        <w:t>御茶宴</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水乡宴</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，省心省钱！</w:t>
      </w:r>
    </w:p>
    <w:p w14:paraId="61F5112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
          <w:bCs w:val="0"/>
          <w:color w:val="FFFFFF"/>
          <w:sz w:val="24"/>
          <w:szCs w:val="24"/>
          <w:highlight w:val="none"/>
          <w:u w:val="none"/>
          <w:shd w:val="clear" w:color="auto" w:fill="F79646"/>
          <w:lang w:val="en-US" w:eastAsia="zh-CN"/>
        </w:rPr>
        <w:t>【豪华酒店】</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全程安排</w:t>
      </w:r>
      <w:r>
        <w:rPr>
          <w:rFonts w:hint="eastAsia" w:ascii="微软雅黑" w:hAnsi="微软雅黑" w:eastAsia="微软雅黑" w:cs="微软雅黑"/>
          <w:b/>
          <w:bCs/>
          <w:color w:val="FF0000"/>
          <w:sz w:val="24"/>
          <w:szCs w:val="24"/>
          <w:lang w:val="en-US" w:eastAsia="zh-CN"/>
        </w:rPr>
        <w:t>豪华酒店</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，网评</w:t>
      </w:r>
      <w:r>
        <w:rPr>
          <w:rFonts w:hint="eastAsia" w:ascii="微软雅黑" w:hAnsi="微软雅黑" w:eastAsia="微软雅黑" w:cs="微软雅黑"/>
          <w:b/>
          <w:bCs/>
          <w:color w:val="FF0000"/>
          <w:sz w:val="24"/>
          <w:szCs w:val="24"/>
          <w:lang w:val="en-US" w:eastAsia="zh-CN"/>
        </w:rPr>
        <w:t>5钻优质</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酒店，特别尊享</w:t>
      </w:r>
      <w:r>
        <w:rPr>
          <w:rFonts w:hint="eastAsia" w:ascii="微软雅黑" w:hAnsi="微软雅黑" w:eastAsia="微软雅黑" w:cs="微软雅黑"/>
          <w:b/>
          <w:bCs/>
          <w:color w:val="FF0000"/>
          <w:sz w:val="24"/>
          <w:szCs w:val="24"/>
          <w:lang w:val="en-US" w:eastAsia="zh-CN"/>
        </w:rPr>
        <w:t>限量升级</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一晚住</w:t>
      </w:r>
      <w:r>
        <w:rPr>
          <w:rFonts w:hint="eastAsia" w:ascii="微软雅黑" w:hAnsi="微软雅黑" w:eastAsia="微软雅黑" w:cs="微软雅黑"/>
          <w:b/>
          <w:bCs/>
          <w:color w:val="FF0000"/>
          <w:sz w:val="24"/>
          <w:szCs w:val="24"/>
          <w:lang w:val="en-US" w:eastAsia="zh-CN"/>
        </w:rPr>
        <w:t>乌镇西栅内客栈</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，住在风景里</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w:t>
      </w:r>
    </w:p>
    <w:p w14:paraId="750E35D0">
      <w:pPr>
        <w:keepNext w:val="0"/>
        <w:keepLines w:val="0"/>
        <w:pageBreakBefore w:val="0"/>
        <w:widowControl w:val="0"/>
        <w:numPr>
          <w:ilvl w:val="0"/>
          <w:numId w:val="0"/>
        </w:numPr>
        <w:kinsoku/>
        <w:wordWrap/>
        <w:overflowPunct/>
        <w:topLinePunct w:val="0"/>
        <w:bidi w:val="0"/>
        <w:adjustRightInd/>
        <w:snapToGrid/>
        <w:spacing w:line="500" w:lineRule="exact"/>
        <w:ind w:leftChars="0"/>
        <w:jc w:val="left"/>
        <w:textAlignment w:val="auto"/>
        <w:rPr>
          <w:rFonts w:hint="default"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val="0"/>
          <w:color w:val="FFFFFF"/>
          <w:sz w:val="24"/>
          <w:szCs w:val="24"/>
          <w:highlight w:val="none"/>
          <w:u w:val="none"/>
          <w:shd w:val="clear" w:color="auto" w:fill="F79646"/>
          <w:lang w:val="en-US" w:eastAsia="zh-CN"/>
        </w:rPr>
        <w:t>【品质出游】</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：精致小团，</w:t>
      </w:r>
      <w:r>
        <w:rPr>
          <w:rFonts w:hint="eastAsia" w:ascii="微软雅黑" w:hAnsi="微软雅黑" w:eastAsia="微软雅黑" w:cs="微软雅黑"/>
          <w:b/>
          <w:bCs/>
          <w:color w:val="FF0000"/>
          <w:sz w:val="24"/>
          <w:szCs w:val="24"/>
          <w:lang w:val="en-US" w:eastAsia="zh-CN"/>
        </w:rPr>
        <w:t>限量16成人</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独家安排打卡网红观音寺</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，升级用车，</w:t>
      </w:r>
      <w:r>
        <w:rPr>
          <w:rFonts w:hint="eastAsia" w:ascii="微软雅黑" w:hAnsi="微软雅黑" w:eastAsia="微软雅黑" w:cs="微软雅黑"/>
          <w:b/>
          <w:bCs/>
          <w:color w:val="FF0000"/>
          <w:sz w:val="24"/>
          <w:szCs w:val="24"/>
          <w:lang w:val="en-US" w:eastAsia="zh-CN"/>
        </w:rPr>
        <w:t>2+1座椅</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巴士，旅游不在拥挤！</w:t>
      </w:r>
    </w:p>
    <w:p w14:paraId="768BF28C">
      <w:pPr>
        <w:keepNext w:val="0"/>
        <w:keepLines w:val="0"/>
        <w:pageBreakBefore w:val="0"/>
        <w:widowControl w:val="0"/>
        <w:numPr>
          <w:ilvl w:val="0"/>
          <w:numId w:val="0"/>
        </w:numPr>
        <w:kinsoku/>
        <w:wordWrap/>
        <w:overflowPunct/>
        <w:topLinePunct w:val="0"/>
        <w:bidi w:val="0"/>
        <w:adjustRightInd/>
        <w:snapToGrid/>
        <w:spacing w:line="500" w:lineRule="exact"/>
        <w:ind w:leftChars="0"/>
        <w:jc w:val="left"/>
        <w:textAlignment w:val="auto"/>
        <w:rPr>
          <w:rFonts w:hint="eastAsia" w:ascii="微软雅黑" w:hAnsi="微软雅黑" w:eastAsia="微软雅黑" w:cs="微软雅黑"/>
          <w:b/>
          <w:bCs w:val="0"/>
          <w:color w:val="FFFFFF"/>
          <w:sz w:val="24"/>
          <w:szCs w:val="24"/>
          <w:highlight w:val="none"/>
          <w:u w:val="none"/>
          <w:shd w:val="clear" w:color="auto" w:fill="F79646"/>
          <w:lang w:val="en-US" w:eastAsia="zh-CN"/>
        </w:rPr>
      </w:pPr>
      <w:r>
        <w:rPr>
          <w:rFonts w:hint="eastAsia" w:ascii="微软雅黑" w:hAnsi="微软雅黑" w:eastAsia="微软雅黑" w:cs="微软雅黑"/>
          <w:b/>
          <w:bCs w:val="0"/>
          <w:color w:val="FFFFFF"/>
          <w:sz w:val="24"/>
          <w:szCs w:val="24"/>
          <w:highlight w:val="none"/>
          <w:u w:val="none"/>
          <w:shd w:val="clear" w:color="auto" w:fill="F79646"/>
          <w:lang w:val="en-US" w:eastAsia="zh-CN"/>
        </w:rPr>
        <w:t>【优秀导游】</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：全薪</w:t>
      </w:r>
      <w:r>
        <w:rPr>
          <w:rFonts w:hint="eastAsia" w:ascii="微软雅黑" w:hAnsi="微软雅黑" w:eastAsia="微软雅黑" w:cs="微软雅黑"/>
          <w:b/>
          <w:bCs/>
          <w:color w:val="FF0000"/>
          <w:sz w:val="24"/>
          <w:szCs w:val="24"/>
          <w:lang w:val="en-US" w:eastAsia="zh-CN"/>
        </w:rPr>
        <w:t>讲解服务</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型导游，定期培训，</w:t>
      </w:r>
      <w:r>
        <w:rPr>
          <w:rFonts w:hint="eastAsia" w:ascii="微软雅黑" w:hAnsi="微软雅黑" w:eastAsia="微软雅黑" w:cs="微软雅黑"/>
          <w:b/>
          <w:bCs/>
          <w:color w:val="FF0000"/>
          <w:sz w:val="24"/>
          <w:szCs w:val="24"/>
          <w:lang w:val="en-US" w:eastAsia="zh-CN"/>
        </w:rPr>
        <w:t>全年0投诉</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深度讲解</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优质服务</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，让您的江南之旅变的美好！</w:t>
      </w:r>
    </w:p>
    <w:p w14:paraId="3A9A66FD">
      <w:pPr>
        <w:keepNext w:val="0"/>
        <w:keepLines w:val="0"/>
        <w:pageBreakBefore w:val="0"/>
        <w:widowControl w:val="0"/>
        <w:numPr>
          <w:ilvl w:val="0"/>
          <w:numId w:val="0"/>
        </w:numPr>
        <w:kinsoku/>
        <w:wordWrap/>
        <w:overflowPunct/>
        <w:topLinePunct w:val="0"/>
        <w:bidi w:val="0"/>
        <w:adjustRightInd/>
        <w:snapToGrid/>
        <w:spacing w:line="500" w:lineRule="exact"/>
        <w:ind w:leftChars="0"/>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b/>
          <w:bCs w:val="0"/>
          <w:color w:val="FFFFFF"/>
          <w:sz w:val="24"/>
          <w:szCs w:val="24"/>
          <w:highlight w:val="none"/>
          <w:u w:val="none"/>
          <w:shd w:val="clear" w:color="auto" w:fill="F79646"/>
          <w:lang w:val="en-US" w:eastAsia="zh-CN"/>
        </w:rPr>
        <w:t>【郑重承诺】</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：保证全程纯玩</w:t>
      </w:r>
      <w:r>
        <w:rPr>
          <w:rFonts w:hint="eastAsia" w:ascii="微软雅黑" w:hAnsi="微软雅黑" w:eastAsia="微软雅黑" w:cs="微软雅黑"/>
          <w:b/>
          <w:bCs/>
          <w:color w:val="FF0000"/>
          <w:sz w:val="24"/>
          <w:szCs w:val="24"/>
          <w:lang w:val="en-US" w:eastAsia="zh-CN"/>
        </w:rPr>
        <w:t>无购物+无必销</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，零钱旅游，纯玩品质团，尽享江南纯净之旅，</w:t>
      </w:r>
      <w:r>
        <w:rPr>
          <w:rFonts w:hint="eastAsia" w:ascii="微软雅黑" w:hAnsi="微软雅黑" w:eastAsia="微软雅黑" w:cs="微软雅黑"/>
          <w:b/>
          <w:bCs/>
          <w:color w:val="FF0000"/>
          <w:sz w:val="24"/>
          <w:szCs w:val="24"/>
          <w:lang w:val="en-US" w:eastAsia="zh-CN"/>
        </w:rPr>
        <w:t>一次旅行</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b/>
          <w:bCs/>
          <w:color w:val="FF0000"/>
          <w:sz w:val="24"/>
          <w:szCs w:val="24"/>
          <w:lang w:val="en-US" w:eastAsia="zh-CN"/>
        </w:rPr>
        <w:t>记忆一生</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p>
    <w:p w14:paraId="6CB5230C">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微软雅黑" w:hAnsi="微软雅黑" w:eastAsia="微软雅黑" w:cs="微软雅黑"/>
          <w:b w:val="0"/>
          <w:bCs/>
          <w:color w:val="auto"/>
          <w:szCs w:val="21"/>
          <w:highlight w:val="none"/>
          <w:u w:val="none"/>
          <w:shd w:val="clear" w:color="auto"/>
          <w:lang w:val="en-US" w:eastAsia="zh-CN"/>
        </w:rPr>
      </w:pPr>
    </w:p>
    <w:p w14:paraId="24D7933C">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微软雅黑" w:hAnsi="微软雅黑" w:eastAsia="微软雅黑" w:cs="微软雅黑"/>
          <w:b w:val="0"/>
          <w:bCs/>
          <w:color w:val="auto"/>
          <w:szCs w:val="21"/>
          <w:highlight w:val="none"/>
          <w:u w:val="none"/>
          <w:shd w:val="clear" w:color="auto"/>
          <w:lang w:val="en-US" w:eastAsia="zh-CN"/>
        </w:rPr>
      </w:pPr>
    </w:p>
    <w:p w14:paraId="13C53455">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微软雅黑" w:hAnsi="微软雅黑" w:eastAsia="微软雅黑" w:cs="微软雅黑"/>
          <w:b w:val="0"/>
          <w:bCs/>
          <w:color w:val="auto"/>
          <w:szCs w:val="21"/>
          <w:highlight w:val="none"/>
          <w:u w:val="none"/>
          <w:shd w:val="clear" w:color="auto"/>
          <w:lang w:val="en-US" w:eastAsia="zh-CN"/>
        </w:rPr>
      </w:pPr>
    </w:p>
    <w:p w14:paraId="753AB6C7">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微软雅黑" w:hAnsi="微软雅黑" w:eastAsia="微软雅黑" w:cs="微软雅黑"/>
          <w:b w:val="0"/>
          <w:bCs/>
          <w:color w:val="auto"/>
          <w:szCs w:val="21"/>
          <w:highlight w:val="none"/>
          <w:u w:val="none"/>
          <w:shd w:val="clear" w:color="auto"/>
          <w:lang w:val="en-US" w:eastAsia="zh-CN"/>
        </w:rPr>
      </w:pPr>
    </w:p>
    <w:p w14:paraId="50F9C182">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微软雅黑" w:hAnsi="微软雅黑" w:eastAsia="微软雅黑" w:cs="微软雅黑"/>
          <w:b w:val="0"/>
          <w:bCs/>
          <w:color w:val="auto"/>
          <w:szCs w:val="21"/>
          <w:highlight w:val="none"/>
          <w:u w:val="none"/>
          <w:shd w:val="clear" w:color="auto"/>
          <w:lang w:val="en-US" w:eastAsia="zh-CN"/>
        </w:rPr>
      </w:pPr>
    </w:p>
    <w:p w14:paraId="0E4D9B2D">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微软雅黑" w:hAnsi="微软雅黑" w:eastAsia="微软雅黑" w:cs="微软雅黑"/>
          <w:b w:val="0"/>
          <w:bCs/>
          <w:color w:val="auto"/>
          <w:szCs w:val="21"/>
          <w:highlight w:val="none"/>
          <w:u w:val="none"/>
          <w:shd w:val="clear" w:color="auto"/>
          <w:lang w:val="en-US" w:eastAsia="zh-CN"/>
        </w:rPr>
      </w:pPr>
    </w:p>
    <w:p w14:paraId="5E860D6F">
      <w:pPr>
        <w:pStyle w:val="14"/>
        <w:rPr>
          <w:rFonts w:hint="eastAsia"/>
          <w:lang w:val="en-US" w:eastAsia="zh-CN"/>
        </w:rPr>
      </w:pPr>
    </w:p>
    <w:tbl>
      <w:tblPr>
        <w:tblStyle w:val="9"/>
        <w:tblW w:w="11043" w:type="dxa"/>
        <w:tblInd w:w="-477" w:type="dxa"/>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Layout w:type="fixed"/>
        <w:tblCellMar>
          <w:top w:w="0" w:type="dxa"/>
          <w:left w:w="108" w:type="dxa"/>
          <w:bottom w:w="0" w:type="dxa"/>
          <w:right w:w="108" w:type="dxa"/>
        </w:tblCellMar>
      </w:tblPr>
      <w:tblGrid>
        <w:gridCol w:w="1084"/>
        <w:gridCol w:w="6313"/>
        <w:gridCol w:w="780"/>
        <w:gridCol w:w="810"/>
        <w:gridCol w:w="850"/>
        <w:gridCol w:w="1206"/>
      </w:tblGrid>
      <w:tr w14:paraId="1BB3CDA5">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300" w:hRule="atLeast"/>
        </w:trPr>
        <w:tc>
          <w:tcPr>
            <w:tcW w:w="1084" w:type="dxa"/>
            <w:tcBorders>
              <w:tl2br w:val="nil"/>
              <w:tr2bl w:val="nil"/>
            </w:tcBorders>
            <w:shd w:val="clear" w:color="auto" w:fill="974706" w:themeFill="accent6" w:themeFillShade="7F"/>
            <w:noWrap/>
            <w:vAlign w:val="center"/>
          </w:tcPr>
          <w:p w14:paraId="35A3F29D">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FFFFFF" w:themeColor="background1"/>
                <w:kern w:val="0"/>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kern w:val="0"/>
                <w:sz w:val="24"/>
                <w:szCs w:val="24"/>
                <w14:textFill>
                  <w14:solidFill>
                    <w14:schemeClr w14:val="bg1"/>
                  </w14:solidFill>
                </w14:textFill>
              </w:rPr>
              <w:t>日期</w:t>
            </w:r>
          </w:p>
        </w:tc>
        <w:tc>
          <w:tcPr>
            <w:tcW w:w="6313" w:type="dxa"/>
            <w:tcBorders>
              <w:tl2br w:val="nil"/>
              <w:tr2bl w:val="nil"/>
            </w:tcBorders>
            <w:shd w:val="clear" w:color="auto" w:fill="974706" w:themeFill="accent6" w:themeFillShade="7F"/>
            <w:noWrap/>
            <w:vAlign w:val="center"/>
          </w:tcPr>
          <w:p w14:paraId="08E76D2A">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FFFFFF" w:themeColor="background1"/>
                <w:kern w:val="0"/>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kern w:val="0"/>
                <w:sz w:val="24"/>
                <w:szCs w:val="24"/>
                <w14:textFill>
                  <w14:solidFill>
                    <w14:schemeClr w14:val="bg1"/>
                  </w14:solidFill>
                </w14:textFill>
              </w:rPr>
              <w:t>线路</w:t>
            </w:r>
          </w:p>
        </w:tc>
        <w:tc>
          <w:tcPr>
            <w:tcW w:w="780" w:type="dxa"/>
            <w:tcBorders>
              <w:tl2br w:val="nil"/>
              <w:tr2bl w:val="nil"/>
            </w:tcBorders>
            <w:shd w:val="clear" w:color="auto" w:fill="974706" w:themeFill="accent6" w:themeFillShade="7F"/>
            <w:noWrap/>
            <w:vAlign w:val="center"/>
          </w:tcPr>
          <w:p w14:paraId="4A81C5E2">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FFFFFF" w:themeColor="background1"/>
                <w:kern w:val="0"/>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kern w:val="0"/>
                <w:sz w:val="24"/>
                <w:szCs w:val="24"/>
                <w14:textFill>
                  <w14:solidFill>
                    <w14:schemeClr w14:val="bg1"/>
                  </w14:solidFill>
                </w14:textFill>
              </w:rPr>
              <w:t>早餐</w:t>
            </w:r>
          </w:p>
        </w:tc>
        <w:tc>
          <w:tcPr>
            <w:tcW w:w="810" w:type="dxa"/>
            <w:tcBorders>
              <w:tl2br w:val="nil"/>
              <w:tr2bl w:val="nil"/>
            </w:tcBorders>
            <w:shd w:val="clear" w:color="auto" w:fill="974706" w:themeFill="accent6" w:themeFillShade="7F"/>
            <w:noWrap/>
            <w:vAlign w:val="center"/>
          </w:tcPr>
          <w:p w14:paraId="3F33CE84">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FFFFFF" w:themeColor="background1"/>
                <w:kern w:val="0"/>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kern w:val="0"/>
                <w:sz w:val="24"/>
                <w:szCs w:val="24"/>
                <w14:textFill>
                  <w14:solidFill>
                    <w14:schemeClr w14:val="bg1"/>
                  </w14:solidFill>
                </w14:textFill>
              </w:rPr>
              <w:t>中餐</w:t>
            </w:r>
          </w:p>
        </w:tc>
        <w:tc>
          <w:tcPr>
            <w:tcW w:w="850" w:type="dxa"/>
            <w:tcBorders>
              <w:tl2br w:val="nil"/>
              <w:tr2bl w:val="nil"/>
            </w:tcBorders>
            <w:shd w:val="clear" w:color="auto" w:fill="974706" w:themeFill="accent6" w:themeFillShade="7F"/>
            <w:noWrap/>
            <w:vAlign w:val="center"/>
          </w:tcPr>
          <w:p w14:paraId="55D3B3E9">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FFFFFF" w:themeColor="background1"/>
                <w:kern w:val="0"/>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kern w:val="0"/>
                <w:sz w:val="24"/>
                <w:szCs w:val="24"/>
                <w14:textFill>
                  <w14:solidFill>
                    <w14:schemeClr w14:val="bg1"/>
                  </w14:solidFill>
                </w14:textFill>
              </w:rPr>
              <w:t>晚餐</w:t>
            </w:r>
          </w:p>
        </w:tc>
        <w:tc>
          <w:tcPr>
            <w:tcW w:w="1206" w:type="dxa"/>
            <w:tcBorders>
              <w:tl2br w:val="nil"/>
              <w:tr2bl w:val="nil"/>
            </w:tcBorders>
            <w:shd w:val="clear" w:color="auto" w:fill="974706" w:themeFill="accent6" w:themeFillShade="7F"/>
            <w:noWrap/>
            <w:vAlign w:val="center"/>
          </w:tcPr>
          <w:p w14:paraId="04C14F56">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FFFFFF" w:themeColor="background1"/>
                <w:kern w:val="0"/>
                <w:sz w:val="24"/>
                <w:szCs w:val="24"/>
                <w:lang w:val="en-US" w:eastAsia="zh-CN" w:bidi="ar-SA"/>
                <w14:textFill>
                  <w14:solidFill>
                    <w14:schemeClr w14:val="bg1"/>
                  </w14:solidFill>
                </w14:textFill>
              </w:rPr>
            </w:pPr>
            <w:r>
              <w:rPr>
                <w:rFonts w:hint="eastAsia" w:ascii="微软雅黑" w:hAnsi="微软雅黑" w:eastAsia="微软雅黑" w:cs="微软雅黑"/>
                <w:b/>
                <w:bCs/>
                <w:color w:val="FFFFFF" w:themeColor="background1"/>
                <w:kern w:val="0"/>
                <w:sz w:val="24"/>
                <w:szCs w:val="24"/>
                <w14:textFill>
                  <w14:solidFill>
                    <w14:schemeClr w14:val="bg1"/>
                  </w14:solidFill>
                </w14:textFill>
              </w:rPr>
              <w:t>酒店</w:t>
            </w:r>
          </w:p>
        </w:tc>
      </w:tr>
      <w:tr w14:paraId="4E7DD6D9">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300" w:hRule="atLeast"/>
        </w:trPr>
        <w:tc>
          <w:tcPr>
            <w:tcW w:w="1084" w:type="dxa"/>
            <w:tcBorders>
              <w:tl2br w:val="nil"/>
              <w:tr2bl w:val="nil"/>
            </w:tcBorders>
            <w:shd w:val="clear" w:color="auto" w:fill="auto"/>
            <w:noWrap/>
            <w:vAlign w:val="center"/>
          </w:tcPr>
          <w:p w14:paraId="3958C72C">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D1</w:t>
            </w:r>
          </w:p>
        </w:tc>
        <w:tc>
          <w:tcPr>
            <w:tcW w:w="6313" w:type="dxa"/>
            <w:tcBorders>
              <w:tl2br w:val="nil"/>
              <w:tr2bl w:val="nil"/>
            </w:tcBorders>
            <w:shd w:val="clear" w:color="auto" w:fill="auto"/>
            <w:noWrap/>
            <w:vAlign w:val="center"/>
          </w:tcPr>
          <w:p w14:paraId="0B21B59A">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left"/>
              <w:textAlignment w:val="auto"/>
              <w:rPr>
                <w:rFonts w:hint="eastAsia" w:ascii="微软雅黑" w:hAnsi="微软雅黑" w:eastAsia="微软雅黑" w:cs="微软雅黑"/>
                <w:b/>
                <w:bCs/>
                <w:color w:val="000000"/>
                <w:sz w:val="24"/>
                <w:szCs w:val="24"/>
                <w:lang w:val="en-US"/>
              </w:rPr>
            </w:pPr>
            <w:r>
              <w:rPr>
                <w:rFonts w:hint="eastAsia" w:ascii="微软雅黑" w:hAnsi="微软雅黑" w:eastAsia="微软雅黑" w:cs="微软雅黑"/>
                <w:b/>
                <w:bCs/>
                <w:color w:val="auto"/>
                <w:sz w:val="24"/>
                <w:szCs w:val="24"/>
                <w:lang w:val="en-US" w:eastAsia="zh-CN"/>
              </w:rPr>
              <w:t>四川各地✈南京</w:t>
            </w:r>
            <w:r>
              <w:rPr>
                <w:rFonts w:hint="eastAsia" w:ascii="微软雅黑" w:hAnsi="微软雅黑" w:eastAsia="微软雅黑" w:cs="微软雅黑"/>
                <w:b/>
                <w:bCs/>
                <w:color w:val="000000"/>
                <w:sz w:val="24"/>
                <w:szCs w:val="24"/>
              </w:rPr>
              <w:t>—</w:t>
            </w:r>
            <w:r>
              <w:rPr>
                <w:rFonts w:hint="eastAsia" w:ascii="微软雅黑" w:hAnsi="微软雅黑" w:eastAsia="微软雅黑" w:cs="微软雅黑"/>
                <w:b/>
                <w:bCs/>
                <w:color w:val="000000"/>
                <w:sz w:val="24"/>
                <w:szCs w:val="24"/>
                <w:lang w:val="en-US"/>
              </w:rPr>
              <w:t>接站服务</w:t>
            </w:r>
          </w:p>
          <w:p w14:paraId="070A6310">
            <w:pPr>
              <w:keepNext w:val="0"/>
              <w:keepLines w:val="0"/>
              <w:pageBreakBefore w:val="0"/>
              <w:widowControl/>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left"/>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南京</w:t>
            </w:r>
            <w:r>
              <w:rPr>
                <w:rFonts w:hint="eastAsia" w:ascii="微软雅黑" w:hAnsi="微软雅黑" w:eastAsia="微软雅黑" w:cs="微软雅黑"/>
                <w:b/>
                <w:bCs/>
                <w:color w:val="E46C0A" w:themeColor="accent6" w:themeShade="BF"/>
                <w:kern w:val="0"/>
                <w:sz w:val="24"/>
                <w:szCs w:val="24"/>
                <w:lang w:val="en-US" w:eastAsia="zh-CN"/>
              </w:rPr>
              <w:t>·</w:t>
            </w:r>
            <w:r>
              <w:rPr>
                <w:rFonts w:hint="eastAsia" w:ascii="微软雅黑" w:hAnsi="微软雅黑" w:eastAsia="微软雅黑" w:cs="微软雅黑"/>
                <w:b/>
                <w:bCs/>
                <w:color w:val="E46C0A" w:themeColor="accent6" w:themeShade="BF"/>
                <w:kern w:val="0"/>
                <w:sz w:val="24"/>
                <w:szCs w:val="24"/>
                <w:lang w:eastAsia="zh-CN"/>
              </w:rPr>
              <w:t>夫子庙商业街</w:t>
            </w:r>
            <w:r>
              <w:rPr>
                <w:rFonts w:hint="eastAsia" w:ascii="微软雅黑" w:hAnsi="微软雅黑" w:eastAsia="微软雅黑" w:cs="微软雅黑"/>
                <w:b/>
                <w:bCs/>
                <w:color w:val="E46C0A" w:themeColor="accent6" w:themeShade="BF"/>
                <w:kern w:val="0"/>
                <w:sz w:val="24"/>
                <w:szCs w:val="24"/>
                <w:lang w:val="en-US" w:eastAsia="zh-CN"/>
              </w:rPr>
              <w:t>·中山陵【含景交】</w:t>
            </w:r>
          </w:p>
        </w:tc>
        <w:tc>
          <w:tcPr>
            <w:tcW w:w="780" w:type="dxa"/>
            <w:tcBorders>
              <w:tl2br w:val="nil"/>
              <w:tr2bl w:val="nil"/>
            </w:tcBorders>
            <w:shd w:val="clear" w:color="auto" w:fill="auto"/>
            <w:noWrap/>
            <w:vAlign w:val="center"/>
          </w:tcPr>
          <w:p w14:paraId="14E9D100">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10" w:type="dxa"/>
            <w:tcBorders>
              <w:tl2br w:val="nil"/>
              <w:tr2bl w:val="nil"/>
            </w:tcBorders>
            <w:shd w:val="clear" w:color="auto" w:fill="auto"/>
            <w:noWrap/>
            <w:vAlign w:val="center"/>
          </w:tcPr>
          <w:p w14:paraId="07B3FF1D">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50" w:type="dxa"/>
            <w:tcBorders>
              <w:tl2br w:val="nil"/>
              <w:tr2bl w:val="nil"/>
            </w:tcBorders>
            <w:shd w:val="clear" w:color="auto" w:fill="auto"/>
            <w:noWrap/>
            <w:vAlign w:val="center"/>
          </w:tcPr>
          <w:p w14:paraId="29220E4E">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1206" w:type="dxa"/>
            <w:tcBorders>
              <w:tl2br w:val="nil"/>
              <w:tr2bl w:val="nil"/>
            </w:tcBorders>
            <w:shd w:val="clear" w:color="auto" w:fill="auto"/>
            <w:noWrap/>
            <w:vAlign w:val="center"/>
          </w:tcPr>
          <w:p w14:paraId="289BAF28">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40" w:rightChars="19"/>
              <w:jc w:val="center"/>
              <w:textAlignment w:val="auto"/>
              <w:rPr>
                <w:rFonts w:hint="default"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lang w:val="en-US" w:eastAsia="zh-CN" w:bidi="ar-SA"/>
              </w:rPr>
              <w:t>南京</w:t>
            </w:r>
          </w:p>
        </w:tc>
      </w:tr>
      <w:tr w14:paraId="60847BC1">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300" w:hRule="atLeast"/>
        </w:trPr>
        <w:tc>
          <w:tcPr>
            <w:tcW w:w="1084" w:type="dxa"/>
            <w:tcBorders>
              <w:tl2br w:val="nil"/>
              <w:tr2bl w:val="nil"/>
            </w:tcBorders>
            <w:shd w:val="clear" w:color="auto" w:fill="auto"/>
            <w:noWrap/>
            <w:vAlign w:val="center"/>
          </w:tcPr>
          <w:p w14:paraId="5A55347A">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D2</w:t>
            </w:r>
          </w:p>
        </w:tc>
        <w:tc>
          <w:tcPr>
            <w:tcW w:w="6313" w:type="dxa"/>
            <w:tcBorders>
              <w:tl2br w:val="nil"/>
              <w:tr2bl w:val="nil"/>
            </w:tcBorders>
            <w:shd w:val="clear" w:color="auto" w:fill="auto"/>
            <w:noWrap/>
            <w:vAlign w:val="center"/>
          </w:tcPr>
          <w:p w14:paraId="0686F6C3">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textAlignment w:val="auto"/>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color w:val="000000"/>
                <w:kern w:val="0"/>
                <w:sz w:val="24"/>
                <w:szCs w:val="24"/>
              </w:rPr>
              <w:t>南京</w:t>
            </w:r>
            <w:r>
              <w:rPr>
                <w:rFonts w:hint="eastAsia" w:ascii="微软雅黑" w:hAnsi="微软雅黑" w:eastAsia="微软雅黑" w:cs="微软雅黑"/>
                <w:b/>
                <w:bCs/>
                <w:color w:val="E46C0A" w:themeColor="accent6" w:themeShade="BF"/>
                <w:kern w:val="0"/>
                <w:sz w:val="24"/>
                <w:szCs w:val="24"/>
                <w:lang w:val="en-US" w:eastAsia="zh-CN"/>
              </w:rPr>
              <w:t>·东庐山观音寺</w:t>
            </w:r>
            <w:r>
              <w:rPr>
                <w:rFonts w:hint="eastAsia" w:ascii="微软雅黑" w:hAnsi="微软雅黑" w:eastAsia="微软雅黑" w:cs="微软雅黑"/>
                <w:color w:val="000000"/>
                <w:kern w:val="0"/>
                <w:sz w:val="24"/>
                <w:szCs w:val="24"/>
              </w:rPr>
              <w:t>—无锡</w:t>
            </w:r>
            <w:r>
              <w:rPr>
                <w:rFonts w:hint="eastAsia" w:ascii="微软雅黑" w:hAnsi="微软雅黑" w:eastAsia="微软雅黑" w:cs="微软雅黑"/>
                <w:b/>
                <w:bCs/>
                <w:color w:val="E46C0A" w:themeColor="accent6" w:themeShade="BF"/>
                <w:kern w:val="0"/>
                <w:sz w:val="24"/>
                <w:szCs w:val="24"/>
              </w:rPr>
              <w:t>·拈花湾</w:t>
            </w:r>
            <w:r>
              <w:rPr>
                <w:rFonts w:hint="eastAsia" w:ascii="微软雅黑" w:hAnsi="微软雅黑" w:eastAsia="微软雅黑" w:cs="微软雅黑"/>
                <w:color w:val="000000"/>
                <w:kern w:val="0"/>
                <w:sz w:val="24"/>
                <w:szCs w:val="24"/>
              </w:rPr>
              <w:t>—</w:t>
            </w:r>
            <w:r>
              <w:rPr>
                <w:rFonts w:hint="eastAsia" w:ascii="微软雅黑" w:hAnsi="微软雅黑" w:eastAsia="微软雅黑" w:cs="微软雅黑"/>
                <w:kern w:val="0"/>
                <w:sz w:val="24"/>
                <w:szCs w:val="24"/>
              </w:rPr>
              <w:t>杭州</w:t>
            </w:r>
            <w:r>
              <w:rPr>
                <w:rFonts w:hint="eastAsia" w:ascii="微软雅黑" w:hAnsi="微软雅黑" w:eastAsia="微软雅黑" w:cs="微软雅黑"/>
                <w:b/>
                <w:bCs/>
                <w:color w:val="E46C0A" w:themeColor="accent6" w:themeShade="BF"/>
                <w:kern w:val="0"/>
                <w:sz w:val="24"/>
                <w:szCs w:val="24"/>
              </w:rPr>
              <w:t>·宋城（自费）</w:t>
            </w:r>
          </w:p>
        </w:tc>
        <w:tc>
          <w:tcPr>
            <w:tcW w:w="780" w:type="dxa"/>
            <w:tcBorders>
              <w:tl2br w:val="nil"/>
              <w:tr2bl w:val="nil"/>
            </w:tcBorders>
            <w:shd w:val="clear" w:color="auto" w:fill="auto"/>
            <w:noWrap/>
            <w:vAlign w:val="center"/>
          </w:tcPr>
          <w:p w14:paraId="54912028">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10" w:type="dxa"/>
            <w:tcBorders>
              <w:tl2br w:val="nil"/>
              <w:tr2bl w:val="nil"/>
            </w:tcBorders>
            <w:shd w:val="clear" w:color="auto" w:fill="auto"/>
            <w:noWrap/>
            <w:vAlign w:val="center"/>
          </w:tcPr>
          <w:p w14:paraId="5F7F4DFC">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50" w:type="dxa"/>
            <w:tcBorders>
              <w:tl2br w:val="nil"/>
              <w:tr2bl w:val="nil"/>
            </w:tcBorders>
            <w:shd w:val="clear" w:color="auto" w:fill="auto"/>
            <w:noWrap/>
            <w:vAlign w:val="center"/>
          </w:tcPr>
          <w:p w14:paraId="6C05C85F">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1206" w:type="dxa"/>
            <w:tcBorders>
              <w:tl2br w:val="nil"/>
              <w:tr2bl w:val="nil"/>
            </w:tcBorders>
            <w:shd w:val="clear" w:color="auto" w:fill="auto"/>
            <w:noWrap/>
            <w:vAlign w:val="center"/>
          </w:tcPr>
          <w:p w14:paraId="6B53D9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40" w:rightChars="19"/>
              <w:jc w:val="center"/>
              <w:textAlignment w:val="auto"/>
              <w:rPr>
                <w:rFonts w:hint="default"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lang w:val="en-US" w:eastAsia="zh-CN" w:bidi="ar-SA"/>
              </w:rPr>
              <w:t>杭州</w:t>
            </w:r>
          </w:p>
        </w:tc>
      </w:tr>
      <w:tr w14:paraId="282EB64E">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300" w:hRule="atLeast"/>
        </w:trPr>
        <w:tc>
          <w:tcPr>
            <w:tcW w:w="1084" w:type="dxa"/>
            <w:tcBorders>
              <w:tl2br w:val="nil"/>
              <w:tr2bl w:val="nil"/>
            </w:tcBorders>
            <w:shd w:val="clear" w:color="auto" w:fill="auto"/>
            <w:noWrap/>
            <w:vAlign w:val="center"/>
          </w:tcPr>
          <w:p w14:paraId="104755DA">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D3</w:t>
            </w:r>
          </w:p>
        </w:tc>
        <w:tc>
          <w:tcPr>
            <w:tcW w:w="6313" w:type="dxa"/>
            <w:tcBorders>
              <w:tl2br w:val="nil"/>
              <w:tr2bl w:val="nil"/>
            </w:tcBorders>
            <w:shd w:val="clear" w:color="auto" w:fill="auto"/>
            <w:noWrap/>
            <w:vAlign w:val="center"/>
          </w:tcPr>
          <w:p w14:paraId="39A91D2B">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textAlignment w:val="auto"/>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lang w:val="en-US" w:eastAsia="zh-CN"/>
              </w:rPr>
              <w:t>杭州</w:t>
            </w:r>
            <w:r>
              <w:rPr>
                <w:rFonts w:hint="eastAsia" w:ascii="微软雅黑" w:hAnsi="微软雅黑" w:eastAsia="微软雅黑" w:cs="微软雅黑"/>
                <w:b/>
                <w:bCs/>
                <w:color w:val="E46C0A" w:themeColor="accent6" w:themeShade="BF"/>
                <w:kern w:val="0"/>
                <w:sz w:val="24"/>
                <w:szCs w:val="24"/>
                <w:lang w:val="en-US" w:eastAsia="zh-CN"/>
              </w:rPr>
              <w:t>·西湖·河坊街</w:t>
            </w:r>
            <w:r>
              <w:rPr>
                <w:rFonts w:hint="eastAsia" w:ascii="微软雅黑" w:hAnsi="微软雅黑" w:eastAsia="微软雅黑" w:cs="微软雅黑"/>
                <w:color w:val="000000"/>
                <w:kern w:val="0"/>
                <w:sz w:val="24"/>
                <w:szCs w:val="24"/>
                <w:lang w:eastAsia="zh-CN"/>
              </w:rPr>
              <w:t>—</w:t>
            </w:r>
            <w:r>
              <w:rPr>
                <w:rFonts w:hint="eastAsia" w:ascii="微软雅黑" w:hAnsi="微软雅黑" w:eastAsia="微软雅黑" w:cs="微软雅黑"/>
                <w:color w:val="000000"/>
                <w:kern w:val="0"/>
                <w:sz w:val="24"/>
                <w:szCs w:val="24"/>
                <w:lang w:val="en-US" w:eastAsia="zh-CN"/>
              </w:rPr>
              <w:t>桐乡</w:t>
            </w:r>
            <w:r>
              <w:rPr>
                <w:rFonts w:hint="eastAsia" w:ascii="微软雅黑" w:hAnsi="微软雅黑" w:eastAsia="微软雅黑" w:cs="微软雅黑"/>
                <w:b/>
                <w:bCs/>
                <w:color w:val="E46C0A" w:themeColor="accent6" w:themeShade="BF"/>
                <w:kern w:val="0"/>
                <w:sz w:val="24"/>
                <w:szCs w:val="24"/>
                <w:lang w:val="en-US" w:eastAsia="zh-CN"/>
              </w:rPr>
              <w:t>·乌镇西栅·提灯走桥</w:t>
            </w:r>
          </w:p>
        </w:tc>
        <w:tc>
          <w:tcPr>
            <w:tcW w:w="780" w:type="dxa"/>
            <w:tcBorders>
              <w:tl2br w:val="nil"/>
              <w:tr2bl w:val="nil"/>
            </w:tcBorders>
            <w:shd w:val="clear" w:color="auto" w:fill="auto"/>
            <w:noWrap/>
            <w:vAlign w:val="center"/>
          </w:tcPr>
          <w:p w14:paraId="0AF97028">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10" w:type="dxa"/>
            <w:tcBorders>
              <w:tl2br w:val="nil"/>
              <w:tr2bl w:val="nil"/>
            </w:tcBorders>
            <w:shd w:val="clear" w:color="auto" w:fill="auto"/>
            <w:noWrap/>
            <w:vAlign w:val="center"/>
          </w:tcPr>
          <w:p w14:paraId="4FE0BF0A">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50" w:type="dxa"/>
            <w:tcBorders>
              <w:tl2br w:val="nil"/>
              <w:tr2bl w:val="nil"/>
            </w:tcBorders>
            <w:shd w:val="clear" w:color="auto" w:fill="auto"/>
            <w:noWrap/>
            <w:vAlign w:val="center"/>
          </w:tcPr>
          <w:p w14:paraId="60F20D8E">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1206" w:type="dxa"/>
            <w:tcBorders>
              <w:tl2br w:val="nil"/>
              <w:tr2bl w:val="nil"/>
            </w:tcBorders>
            <w:shd w:val="clear" w:color="auto" w:fill="auto"/>
            <w:noWrap/>
            <w:vAlign w:val="center"/>
          </w:tcPr>
          <w:p w14:paraId="15F1C2EE">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40" w:rightChars="19"/>
              <w:jc w:val="center"/>
              <w:textAlignment w:val="auto"/>
              <w:rPr>
                <w:rFonts w:hint="default"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lang w:val="en-US" w:eastAsia="zh-CN" w:bidi="ar-SA"/>
              </w:rPr>
              <w:t>乌镇</w:t>
            </w:r>
          </w:p>
        </w:tc>
      </w:tr>
      <w:tr w14:paraId="6A2FCB3E">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300" w:hRule="atLeast"/>
        </w:trPr>
        <w:tc>
          <w:tcPr>
            <w:tcW w:w="1084" w:type="dxa"/>
            <w:tcBorders>
              <w:tl2br w:val="nil"/>
              <w:tr2bl w:val="nil"/>
            </w:tcBorders>
            <w:shd w:val="clear" w:color="auto" w:fill="auto"/>
            <w:noWrap/>
            <w:vAlign w:val="center"/>
          </w:tcPr>
          <w:p w14:paraId="230A583C">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D4</w:t>
            </w:r>
          </w:p>
        </w:tc>
        <w:tc>
          <w:tcPr>
            <w:tcW w:w="6313" w:type="dxa"/>
            <w:tcBorders>
              <w:tl2br w:val="nil"/>
              <w:tr2bl w:val="nil"/>
            </w:tcBorders>
            <w:shd w:val="clear" w:color="auto" w:fill="auto"/>
            <w:noWrap/>
            <w:vAlign w:val="center"/>
          </w:tcPr>
          <w:p w14:paraId="7B74926D">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textAlignment w:val="auto"/>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lang w:val="en-US" w:eastAsia="zh-CN"/>
              </w:rPr>
              <w:t>乌镇</w:t>
            </w:r>
            <w:r>
              <w:rPr>
                <w:rFonts w:hint="eastAsia" w:ascii="微软雅黑" w:hAnsi="微软雅黑" w:eastAsia="微软雅黑" w:cs="微软雅黑"/>
                <w:color w:val="000000"/>
                <w:kern w:val="0"/>
                <w:sz w:val="24"/>
                <w:szCs w:val="24"/>
                <w:lang w:eastAsia="zh-CN"/>
              </w:rPr>
              <w:t>—</w:t>
            </w:r>
            <w:r>
              <w:rPr>
                <w:rFonts w:hint="eastAsia" w:ascii="微软雅黑" w:hAnsi="微软雅黑" w:eastAsia="微软雅黑" w:cs="微软雅黑"/>
                <w:color w:val="000000"/>
                <w:kern w:val="0"/>
                <w:sz w:val="24"/>
                <w:szCs w:val="24"/>
                <w:lang w:val="en-US" w:eastAsia="zh-CN"/>
              </w:rPr>
              <w:t>苏州</w:t>
            </w:r>
            <w:r>
              <w:rPr>
                <w:rFonts w:hint="eastAsia" w:ascii="微软雅黑" w:hAnsi="微软雅黑" w:eastAsia="微软雅黑" w:cs="微软雅黑"/>
                <w:b/>
                <w:bCs/>
                <w:color w:val="E46C0A" w:themeColor="accent6" w:themeShade="BF"/>
                <w:kern w:val="0"/>
                <w:sz w:val="24"/>
                <w:szCs w:val="24"/>
                <w:lang w:val="en-US" w:eastAsia="zh-CN"/>
              </w:rPr>
              <w:t>·拙政园·周庄【含景交】</w:t>
            </w:r>
            <w:r>
              <w:rPr>
                <w:rFonts w:hint="eastAsia" w:ascii="微软雅黑" w:hAnsi="微软雅黑" w:eastAsia="微软雅黑" w:cs="微软雅黑"/>
                <w:color w:val="000000"/>
                <w:kern w:val="0"/>
                <w:sz w:val="24"/>
                <w:szCs w:val="24"/>
                <w:lang w:eastAsia="zh-CN"/>
              </w:rPr>
              <w:t>—上海</w:t>
            </w:r>
            <w:r>
              <w:rPr>
                <w:rFonts w:hint="eastAsia" w:ascii="微软雅黑" w:hAnsi="微软雅黑" w:eastAsia="微软雅黑" w:cs="微软雅黑"/>
                <w:b/>
                <w:bCs/>
                <w:color w:val="E46C0A" w:themeColor="accent6" w:themeShade="BF"/>
                <w:kern w:val="0"/>
                <w:sz w:val="24"/>
                <w:szCs w:val="24"/>
                <w:lang w:val="en-US" w:eastAsia="zh-CN"/>
              </w:rPr>
              <w:t>夜游上海+金茂登高+游船（自费）</w:t>
            </w:r>
          </w:p>
        </w:tc>
        <w:tc>
          <w:tcPr>
            <w:tcW w:w="780" w:type="dxa"/>
            <w:tcBorders>
              <w:tl2br w:val="nil"/>
              <w:tr2bl w:val="nil"/>
            </w:tcBorders>
            <w:shd w:val="clear" w:color="auto" w:fill="auto"/>
            <w:noWrap/>
            <w:vAlign w:val="center"/>
          </w:tcPr>
          <w:p w14:paraId="047527A3">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10" w:type="dxa"/>
            <w:tcBorders>
              <w:tl2br w:val="nil"/>
              <w:tr2bl w:val="nil"/>
            </w:tcBorders>
            <w:shd w:val="clear" w:color="auto" w:fill="auto"/>
            <w:noWrap/>
            <w:vAlign w:val="top"/>
          </w:tcPr>
          <w:p w14:paraId="5DAC044A">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50" w:type="dxa"/>
            <w:tcBorders>
              <w:tl2br w:val="nil"/>
              <w:tr2bl w:val="nil"/>
            </w:tcBorders>
            <w:shd w:val="clear" w:color="auto" w:fill="auto"/>
            <w:noWrap/>
            <w:vAlign w:val="top"/>
          </w:tcPr>
          <w:p w14:paraId="6376E340">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1206" w:type="dxa"/>
            <w:tcBorders>
              <w:tl2br w:val="nil"/>
              <w:tr2bl w:val="nil"/>
            </w:tcBorders>
            <w:shd w:val="clear" w:color="auto" w:fill="auto"/>
            <w:noWrap/>
            <w:vAlign w:val="center"/>
          </w:tcPr>
          <w:p w14:paraId="080E7DD2">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40" w:rightChars="19"/>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上海</w:t>
            </w:r>
          </w:p>
        </w:tc>
      </w:tr>
      <w:tr w14:paraId="47BD4DFD">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300" w:hRule="atLeast"/>
        </w:trPr>
        <w:tc>
          <w:tcPr>
            <w:tcW w:w="1084" w:type="dxa"/>
            <w:tcBorders>
              <w:tl2br w:val="nil"/>
              <w:tr2bl w:val="nil"/>
            </w:tcBorders>
            <w:shd w:val="clear" w:color="auto" w:fill="auto"/>
            <w:noWrap/>
            <w:vAlign w:val="center"/>
          </w:tcPr>
          <w:p w14:paraId="1E485040">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b/>
                <w:bCs/>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D5</w:t>
            </w:r>
          </w:p>
        </w:tc>
        <w:tc>
          <w:tcPr>
            <w:tcW w:w="6313" w:type="dxa"/>
            <w:tcBorders>
              <w:tl2br w:val="nil"/>
              <w:tr2bl w:val="nil"/>
            </w:tcBorders>
            <w:shd w:val="clear" w:color="auto" w:fill="auto"/>
            <w:noWrap/>
            <w:vAlign w:val="center"/>
          </w:tcPr>
          <w:p w14:paraId="4FF2BE80">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textAlignment w:val="auto"/>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b/>
                <w:bCs/>
                <w:color w:val="auto"/>
                <w:sz w:val="24"/>
                <w:szCs w:val="24"/>
                <w:lang w:val="en-US" w:eastAsia="zh-CN"/>
              </w:rPr>
              <w:t xml:space="preserve">上海·外滩·南京路—送站 </w:t>
            </w:r>
          </w:p>
        </w:tc>
        <w:tc>
          <w:tcPr>
            <w:tcW w:w="780" w:type="dxa"/>
            <w:tcBorders>
              <w:tl2br w:val="nil"/>
              <w:tr2bl w:val="nil"/>
            </w:tcBorders>
            <w:shd w:val="clear" w:color="auto" w:fill="auto"/>
            <w:noWrap/>
            <w:vAlign w:val="center"/>
          </w:tcPr>
          <w:p w14:paraId="36827F8C">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10" w:type="dxa"/>
            <w:tcBorders>
              <w:tl2br w:val="nil"/>
              <w:tr2bl w:val="nil"/>
            </w:tcBorders>
            <w:shd w:val="clear" w:color="auto" w:fill="auto"/>
            <w:noWrap/>
            <w:vAlign w:val="center"/>
          </w:tcPr>
          <w:p w14:paraId="281B47EB">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850" w:type="dxa"/>
            <w:tcBorders>
              <w:tl2br w:val="nil"/>
              <w:tr2bl w:val="nil"/>
            </w:tcBorders>
            <w:shd w:val="clear" w:color="auto" w:fill="auto"/>
            <w:noWrap/>
            <w:vAlign w:val="center"/>
          </w:tcPr>
          <w:p w14:paraId="187DA934">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0" w:rightChars="0"/>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c>
          <w:tcPr>
            <w:tcW w:w="1206" w:type="dxa"/>
            <w:tcBorders>
              <w:tl2br w:val="nil"/>
              <w:tr2bl w:val="nil"/>
            </w:tcBorders>
            <w:shd w:val="clear" w:color="auto" w:fill="auto"/>
            <w:noWrap/>
            <w:vAlign w:val="center"/>
          </w:tcPr>
          <w:p w14:paraId="1C3B2C19">
            <w:pPr>
              <w:keepNext w:val="0"/>
              <w:keepLines w:val="0"/>
              <w:pageBreakBefore w:val="0"/>
              <w:suppressLineNumbers w:val="0"/>
              <w:kinsoku/>
              <w:wordWrap/>
              <w:overflowPunct/>
              <w:topLinePunct w:val="0"/>
              <w:autoSpaceDN/>
              <w:bidi w:val="0"/>
              <w:adjustRightInd w:val="0"/>
              <w:snapToGrid w:val="0"/>
              <w:spacing w:before="0" w:beforeAutospacing="0" w:after="0" w:afterAutospacing="0" w:line="240" w:lineRule="auto"/>
              <w:ind w:left="0" w:leftChars="0" w:right="40" w:rightChars="19"/>
              <w:jc w:val="center"/>
              <w:textAlignment w:val="auto"/>
              <w:rPr>
                <w:rFonts w:hint="eastAsia" w:ascii="微软雅黑" w:hAnsi="微软雅黑" w:eastAsia="微软雅黑" w:cs="微软雅黑"/>
                <w:color w:val="000000"/>
                <w:kern w:val="0"/>
                <w:sz w:val="24"/>
                <w:szCs w:val="24"/>
                <w:lang w:val="en-US" w:eastAsia="zh-CN" w:bidi="ar-SA"/>
              </w:rPr>
            </w:pPr>
            <w:r>
              <w:rPr>
                <w:rFonts w:hint="eastAsia" w:ascii="微软雅黑" w:hAnsi="微软雅黑" w:eastAsia="微软雅黑" w:cs="微软雅黑"/>
                <w:color w:val="000000"/>
                <w:kern w:val="0"/>
                <w:sz w:val="24"/>
                <w:szCs w:val="24"/>
              </w:rPr>
              <w:t>×</w:t>
            </w:r>
          </w:p>
        </w:tc>
      </w:tr>
      <w:tr w14:paraId="27A2479C">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493" w:hRule="atLeast"/>
        </w:trPr>
        <w:tc>
          <w:tcPr>
            <w:tcW w:w="11043" w:type="dxa"/>
            <w:gridSpan w:val="6"/>
            <w:tcBorders>
              <w:tl2br w:val="nil"/>
              <w:tr2bl w:val="nil"/>
            </w:tcBorders>
            <w:noWrap/>
            <w:vAlign w:val="top"/>
          </w:tcPr>
          <w:tbl>
            <w:tblPr>
              <w:tblStyle w:val="9"/>
              <w:tblW w:w="109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Layout w:type="fixed"/>
              <w:tblCellMar>
                <w:top w:w="0" w:type="dxa"/>
                <w:left w:w="108" w:type="dxa"/>
                <w:bottom w:w="0" w:type="dxa"/>
                <w:right w:w="108" w:type="dxa"/>
              </w:tblCellMar>
            </w:tblPr>
            <w:tblGrid>
              <w:gridCol w:w="875"/>
              <w:gridCol w:w="10093"/>
            </w:tblGrid>
            <w:tr w14:paraId="5D1B673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968" w:type="dxa"/>
                  <w:gridSpan w:val="2"/>
                  <w:tcBorders>
                    <w:top w:val="single" w:color="auto" w:sz="8" w:space="0"/>
                    <w:left w:val="single" w:color="auto" w:sz="8" w:space="0"/>
                    <w:bottom w:val="single" w:color="auto" w:sz="4" w:space="0"/>
                    <w:right w:val="single" w:color="auto" w:sz="8" w:space="0"/>
                  </w:tcBorders>
                  <w:noWrap w:val="0"/>
                  <w:vAlign w:val="center"/>
                </w:tcPr>
                <w:p w14:paraId="16A900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lang w:val="en-US" w:eastAsia="zh-CN"/>
                    </w:rPr>
                    <w:t xml:space="preserve"> 早餐×、中餐×、晚餐×</w:t>
                  </w:r>
                </w:p>
              </w:tc>
            </w:tr>
            <w:tr w14:paraId="701527B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vMerge w:val="restart"/>
                  <w:tcBorders>
                    <w:top w:val="single" w:color="auto" w:sz="4" w:space="0"/>
                    <w:left w:val="single" w:color="auto" w:sz="8" w:space="0"/>
                    <w:right w:val="single" w:color="auto" w:sz="6" w:space="0"/>
                  </w:tcBorders>
                  <w:noWrap w:val="0"/>
                  <w:vAlign w:val="center"/>
                </w:tcPr>
                <w:p w14:paraId="1924D2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17：00</w:t>
                  </w:r>
                </w:p>
              </w:tc>
              <w:tc>
                <w:tcPr>
                  <w:tcW w:w="10093" w:type="dxa"/>
                  <w:tcBorders>
                    <w:top w:val="single" w:color="auto" w:sz="4" w:space="0"/>
                    <w:left w:val="nil"/>
                    <w:bottom w:val="single" w:color="auto" w:sz="4" w:space="0"/>
                    <w:right w:val="single" w:color="auto" w:sz="8" w:space="0"/>
                  </w:tcBorders>
                  <w:noWrap w:val="0"/>
                  <w:vAlign w:val="center"/>
                </w:tcPr>
                <w:p w14:paraId="2E3F65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default" w:ascii="微软雅黑" w:hAnsi="微软雅黑" w:eastAsia="微软雅黑" w:cs="微软雅黑"/>
                      <w:b w:val="0"/>
                      <w:bCs w:val="0"/>
                      <w:kern w:val="0"/>
                      <w:sz w:val="21"/>
                      <w:szCs w:val="21"/>
                      <w:lang w:val="en-US" w:eastAsia="zh-CN"/>
                    </w:rPr>
                  </w:pPr>
                  <w:r>
                    <w:rPr>
                      <w:rFonts w:hint="eastAsia" w:ascii="微软雅黑" w:hAnsi="微软雅黑" w:eastAsia="微软雅黑" w:cs="微软雅黑"/>
                      <w:b w:val="0"/>
                      <w:bCs w:val="0"/>
                      <w:kern w:val="0"/>
                      <w:sz w:val="21"/>
                      <w:szCs w:val="21"/>
                      <w:lang w:val="en-US" w:eastAsia="zh-CN"/>
                    </w:rPr>
                    <w:t>不参加当日晚间自费上海夜景的游客，可于集散中心乘坐班车前往当日所入住酒店，班车时间为17：00-18：00，具体以当日集散通知为准！请按照班车时间准时返回集散乘坐班车，如您晚于集合时间，我们将不作等待，请您自行前往宾馆，打车约200元左右【</w:t>
                  </w:r>
                  <w:r>
                    <w:rPr>
                      <w:rFonts w:hint="eastAsia" w:ascii="微软雅黑" w:hAnsi="微软雅黑" w:eastAsia="微软雅黑" w:cs="微软雅黑"/>
                      <w:b w:val="0"/>
                      <w:bCs w:val="0"/>
                      <w:sz w:val="21"/>
                      <w:szCs w:val="21"/>
                    </w:rPr>
                    <w:t>请注意行李可寄存至19：00哦</w:t>
                  </w:r>
                  <w:r>
                    <w:rPr>
                      <w:rFonts w:hint="eastAsia" w:ascii="微软雅黑" w:hAnsi="微软雅黑" w:eastAsia="微软雅黑" w:cs="微软雅黑"/>
                      <w:b w:val="0"/>
                      <w:bCs w:val="0"/>
                      <w:kern w:val="0"/>
                      <w:sz w:val="21"/>
                      <w:szCs w:val="21"/>
                      <w:lang w:val="en-US" w:eastAsia="zh-CN"/>
                    </w:rPr>
                    <w:t>】</w:t>
                  </w:r>
                </w:p>
              </w:tc>
            </w:tr>
            <w:tr w14:paraId="2EA7530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vMerge w:val="continue"/>
                  <w:tcBorders>
                    <w:left w:val="single" w:color="auto" w:sz="8" w:space="0"/>
                    <w:bottom w:val="single" w:color="auto" w:sz="4" w:space="0"/>
                    <w:right w:val="single" w:color="auto" w:sz="6" w:space="0"/>
                  </w:tcBorders>
                  <w:noWrap w:val="0"/>
                  <w:vAlign w:val="center"/>
                </w:tcPr>
                <w:p w14:paraId="77EB3C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p>
              </w:tc>
              <w:tc>
                <w:tcPr>
                  <w:tcW w:w="10093" w:type="dxa"/>
                  <w:tcBorders>
                    <w:top w:val="single" w:color="auto" w:sz="4" w:space="0"/>
                    <w:left w:val="nil"/>
                    <w:bottom w:val="single" w:color="auto" w:sz="4" w:space="0"/>
                    <w:right w:val="single" w:color="auto" w:sz="8" w:space="0"/>
                  </w:tcBorders>
                  <w:noWrap w:val="0"/>
                  <w:vAlign w:val="center"/>
                </w:tcPr>
                <w:p w14:paraId="6F4DEF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b/>
                      <w:bCs/>
                      <w:sz w:val="21"/>
                      <w:szCs w:val="21"/>
                    </w:rPr>
                  </w:pPr>
                  <w:r>
                    <w:rPr>
                      <w:rFonts w:hint="eastAsia" w:ascii="微软雅黑" w:hAnsi="微软雅黑" w:eastAsia="微软雅黑" w:cs="微软雅黑"/>
                      <w:b w:val="0"/>
                      <w:bCs w:val="0"/>
                      <w:sz w:val="21"/>
                      <w:szCs w:val="21"/>
                    </w:rPr>
                    <w:t>如您包含或已报名参加【上海夜景项目】请于17：00于【集散中心五方旅游服务专区1号门】集合，由“夜景导游”专门带领您游览大上海夜景，如您晚到将会被取消行程游览，费用不退！</w:t>
                  </w:r>
                </w:p>
              </w:tc>
            </w:tr>
            <w:tr w14:paraId="7EF9A8C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21E4C5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18：00</w:t>
                  </w:r>
                </w:p>
              </w:tc>
              <w:tc>
                <w:tcPr>
                  <w:tcW w:w="10093" w:type="dxa"/>
                  <w:tcBorders>
                    <w:top w:val="single" w:color="auto" w:sz="4" w:space="0"/>
                    <w:left w:val="nil"/>
                    <w:bottom w:val="single" w:color="auto" w:sz="4" w:space="0"/>
                    <w:right w:val="single" w:color="auto" w:sz="8" w:space="0"/>
                  </w:tcBorders>
                  <w:noWrap w:val="0"/>
                  <w:vAlign w:val="center"/>
                </w:tcPr>
                <w:p w14:paraId="327689E8">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left"/>
                    <w:rPr>
                      <w:rFonts w:hint="eastAsia" w:ascii="微软雅黑" w:hAnsi="微软雅黑" w:eastAsia="微软雅黑" w:cs="微软雅黑"/>
                      <w:sz w:val="21"/>
                      <w:szCs w:val="21"/>
                    </w:rPr>
                  </w:pPr>
                </w:p>
              </w:tc>
            </w:tr>
            <w:tr w14:paraId="6D19EB59">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0EABF3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20：00</w:t>
                  </w:r>
                </w:p>
              </w:tc>
              <w:tc>
                <w:tcPr>
                  <w:tcW w:w="10093" w:type="dxa"/>
                  <w:tcBorders>
                    <w:top w:val="single" w:color="auto" w:sz="4" w:space="0"/>
                    <w:left w:val="nil"/>
                    <w:bottom w:val="single" w:color="auto" w:sz="4" w:space="0"/>
                    <w:right w:val="single" w:color="auto" w:sz="8" w:space="0"/>
                  </w:tcBorders>
                  <w:noWrap w:val="0"/>
                  <w:vAlign w:val="center"/>
                </w:tcPr>
                <w:p w14:paraId="52BE7A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b w:val="0"/>
                      <w:bCs w:val="0"/>
                      <w:sz w:val="21"/>
                      <w:szCs w:val="21"/>
                      <w:lang w:val="en-US" w:eastAsia="zh-CN"/>
                    </w:rPr>
                    <w:t>参考酒店：</w:t>
                  </w:r>
                  <w:r>
                    <w:rPr>
                      <w:rFonts w:hint="eastAsia" w:ascii="微软雅黑" w:hAnsi="微软雅黑" w:eastAsia="微软雅黑" w:cs="微软雅黑"/>
                      <w:color w:val="000000"/>
                      <w:sz w:val="21"/>
                      <w:szCs w:val="21"/>
                    </w:rPr>
                    <w:t>上海浦东绿地</w:t>
                  </w:r>
                  <w:r>
                    <w:rPr>
                      <w:rFonts w:hint="eastAsia" w:ascii="微软雅黑" w:hAnsi="微软雅黑" w:eastAsia="微软雅黑" w:cs="微软雅黑"/>
                      <w:color w:val="000000"/>
                      <w:sz w:val="21"/>
                      <w:szCs w:val="21"/>
                      <w:lang w:val="en-US" w:eastAsia="zh-CN"/>
                    </w:rPr>
                    <w:t>假日</w:t>
                  </w:r>
                  <w:r>
                    <w:rPr>
                      <w:rFonts w:hint="eastAsia" w:ascii="微软雅黑" w:hAnsi="微软雅黑" w:eastAsia="微软雅黑" w:cs="微软雅黑"/>
                      <w:color w:val="000000"/>
                      <w:sz w:val="21"/>
                      <w:szCs w:val="21"/>
                    </w:rPr>
                    <w:t>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上海智微世纪酒店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上海浦东丽呈华廷酒店 或 </w:t>
                  </w:r>
                  <w:r>
                    <w:rPr>
                      <w:rFonts w:hint="eastAsia" w:ascii="微软雅黑" w:hAnsi="微软雅黑" w:eastAsia="微软雅黑" w:cs="微软雅黑"/>
                      <w:color w:val="000000"/>
                      <w:sz w:val="21"/>
                      <w:szCs w:val="21"/>
                    </w:rPr>
                    <w:t>上海大华虹桥假日酒店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上海君澜度假酒店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上海浦东温德姆酒店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上海皇廷国际大酒店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上海浦东主题乐园万信酒店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同级</w:t>
                  </w:r>
                  <w:r>
                    <w:rPr>
                      <w:rFonts w:hint="eastAsia" w:ascii="微软雅黑" w:hAnsi="微软雅黑" w:eastAsia="微软雅黑" w:cs="微软雅黑"/>
                      <w:color w:val="000000"/>
                      <w:sz w:val="21"/>
                      <w:szCs w:val="21"/>
                      <w:lang w:val="en-US" w:eastAsia="zh-CN"/>
                    </w:rPr>
                    <w:t>酒店</w:t>
                  </w:r>
                </w:p>
              </w:tc>
            </w:tr>
            <w:tr w14:paraId="2EA717E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968" w:type="dxa"/>
                  <w:gridSpan w:val="2"/>
                  <w:tcBorders>
                    <w:top w:val="single" w:color="auto" w:sz="4" w:space="0"/>
                    <w:left w:val="single" w:color="auto" w:sz="8" w:space="0"/>
                    <w:bottom w:val="single" w:color="auto" w:sz="4" w:space="0"/>
                    <w:right w:val="single" w:color="auto" w:sz="8" w:space="0"/>
                  </w:tcBorders>
                  <w:noWrap w:val="0"/>
                  <w:vAlign w:val="center"/>
                </w:tcPr>
                <w:p w14:paraId="5AD51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w:t>
                  </w:r>
                  <w:r>
                    <w:rPr>
                      <w:rFonts w:hint="eastAsia" w:ascii="微软雅黑" w:hAnsi="微软雅黑" w:eastAsia="微软雅黑" w:cs="微软雅黑"/>
                      <w:b/>
                      <w:bCs/>
                      <w:sz w:val="30"/>
                      <w:szCs w:val="30"/>
                      <w:lang w:val="en-US" w:eastAsia="zh-CN"/>
                    </w:rPr>
                    <w:t>一</w:t>
                  </w:r>
                  <w:r>
                    <w:rPr>
                      <w:rFonts w:hint="eastAsia" w:ascii="微软雅黑" w:hAnsi="微软雅黑" w:eastAsia="微软雅黑" w:cs="微软雅黑"/>
                      <w:b/>
                      <w:bCs/>
                      <w:sz w:val="30"/>
                      <w:szCs w:val="30"/>
                    </w:rPr>
                    <w:t>天：</w:t>
                  </w:r>
                  <w:r>
                    <w:rPr>
                      <w:rFonts w:hint="eastAsia" w:ascii="微软雅黑" w:hAnsi="微软雅黑" w:eastAsia="微软雅黑" w:cs="微软雅黑"/>
                      <w:b/>
                      <w:bCs/>
                      <w:sz w:val="30"/>
                      <w:szCs w:val="30"/>
                      <w:lang w:val="en-US" w:eastAsia="zh-CN"/>
                    </w:rPr>
                    <w:t>成都</w:t>
                  </w:r>
                  <w:r>
                    <w:rPr>
                      <w:rFonts w:hint="eastAsia" w:ascii="微软雅黑" w:hAnsi="微软雅黑" w:eastAsia="微软雅黑" w:cs="微软雅黑"/>
                      <w:b/>
                      <w:bCs/>
                      <w:sz w:val="30"/>
                      <w:szCs w:val="30"/>
                    </w:rPr>
                    <w:t>—南京</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下午行程安排2+1保姆车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2C65D5A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70" w:hRule="atLeast"/>
                <w:jc w:val="center"/>
              </w:trPr>
              <w:tc>
                <w:tcPr>
                  <w:tcW w:w="875"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358ED3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10093" w:type="dxa"/>
                  <w:tcBorders>
                    <w:top w:val="single" w:color="auto" w:sz="4" w:space="0"/>
                    <w:left w:val="nil"/>
                    <w:bottom w:val="single" w:color="auto" w:sz="4" w:space="0"/>
                    <w:right w:val="single" w:color="auto" w:sz="8" w:space="0"/>
                  </w:tcBorders>
                  <w:shd w:val="clear" w:color="auto" w:fill="D9D9D9"/>
                  <w:noWrap w:val="0"/>
                  <w:vAlign w:val="center"/>
                </w:tcPr>
                <w:p w14:paraId="25F447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8C83BF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968" w:type="dxa"/>
                  <w:gridSpan w:val="2"/>
                  <w:tcBorders>
                    <w:top w:val="single" w:color="auto" w:sz="4" w:space="0"/>
                    <w:left w:val="single" w:color="auto" w:sz="8" w:space="0"/>
                    <w:bottom w:val="single" w:color="auto" w:sz="4" w:space="0"/>
                    <w:right w:val="single" w:color="auto" w:sz="8" w:space="0"/>
                  </w:tcBorders>
                  <w:noWrap w:val="0"/>
                  <w:vAlign w:val="center"/>
                </w:tcPr>
                <w:p w14:paraId="553B27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成都乘机飞</w:t>
                  </w:r>
                  <w:r>
                    <w:rPr>
                      <w:rFonts w:hint="eastAsia" w:ascii="微软雅黑" w:hAnsi="微软雅黑" w:eastAsia="微软雅黑" w:cs="微软雅黑"/>
                      <w:sz w:val="21"/>
                      <w:szCs w:val="21"/>
                    </w:rPr>
                    <w:t>“ 六朝古都”—</w:t>
                  </w:r>
                  <w:r>
                    <w:rPr>
                      <w:rFonts w:hint="eastAsia" w:ascii="微软雅黑" w:hAnsi="微软雅黑" w:eastAsia="微软雅黑" w:cs="微软雅黑"/>
                      <w:sz w:val="21"/>
                      <w:szCs w:val="21"/>
                      <w:lang w:val="en-US" w:eastAsia="zh-CN"/>
                    </w:rPr>
                    <w:t>南京，抵达后乘车前往南京集合地</w:t>
                  </w:r>
                </w:p>
              </w:tc>
            </w:tr>
            <w:tr w14:paraId="274F0D9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3D21F9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2040785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b/>
                      <w:bCs w:val="0"/>
                      <w:i w:val="0"/>
                      <w:iCs w:val="0"/>
                      <w:strike w:val="0"/>
                      <w:dstrike w:val="0"/>
                      <w:color w:val="FF0000"/>
                      <w:kern w:val="2"/>
                      <w:sz w:val="21"/>
                      <w:szCs w:val="21"/>
                      <w:u w:val="none"/>
                      <w:lang w:val="en-US" w:eastAsia="zh-CN" w:bidi="ar-SA"/>
                    </w:rPr>
                    <w:t>【夫子庙秦淮河风光带】</w:t>
                  </w:r>
                  <w:r>
                    <w:rPr>
                      <w:rFonts w:hint="eastAsia" w:ascii="微软雅黑" w:hAnsi="微软雅黑" w:eastAsia="微软雅黑" w:cs="微软雅黑"/>
                      <w:kern w:val="2"/>
                      <w:sz w:val="21"/>
                      <w:szCs w:val="21"/>
                      <w:lang w:val="en-US" w:eastAsia="zh-CN" w:bidi="ar-SA"/>
                    </w:rPr>
                    <w:t>自由活动。</w:t>
                  </w:r>
                  <w:r>
                    <w:rPr>
                      <w:rFonts w:hint="default" w:ascii="微软雅黑" w:hAnsi="微软雅黑" w:eastAsia="微软雅黑" w:cs="微软雅黑"/>
                      <w:kern w:val="2"/>
                      <w:sz w:val="21"/>
                      <w:szCs w:val="21"/>
                      <w:lang w:val="en-US" w:eastAsia="zh-CN" w:bidi="ar-SA"/>
                    </w:rPr>
                    <w:t>夫子庙始建于宋代，位于秦淮河北岸的贡院街旁，原是祀奉孔子的地方，后多次遭毁并重建。它与北京孔庙、曲阜孔庙、吉林文庙并称为中国四大文庙，也是夫子庙秦淮河风光带主要的景点。这一带餐饮店很多，蟹壳黄烧饼、开洋干丝、牛肉锅贴、鸡丝浇面、鸭血粉丝汤等一定要试试。另外，这里的商铺也鳞次栉比，你可以挑选一些价钱实惠又具有秦淮特色的纪念品。</w:t>
                  </w:r>
                </w:p>
              </w:tc>
            </w:tr>
            <w:tr w14:paraId="37B1679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00BCE1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15：00</w:t>
                  </w:r>
                </w:p>
              </w:tc>
              <w:tc>
                <w:tcPr>
                  <w:tcW w:w="10093" w:type="dxa"/>
                  <w:tcBorders>
                    <w:top w:val="single" w:color="auto" w:sz="4" w:space="0"/>
                    <w:left w:val="nil"/>
                    <w:bottom w:val="single" w:color="auto" w:sz="4" w:space="0"/>
                    <w:right w:val="single" w:color="auto" w:sz="8" w:space="0"/>
                  </w:tcBorders>
                  <w:noWrap w:val="0"/>
                  <w:vAlign w:val="center"/>
                </w:tcPr>
                <w:p w14:paraId="2453E8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b w:val="0"/>
                      <w:bCs/>
                      <w:i w:val="0"/>
                      <w:iCs w:val="0"/>
                      <w:strike w:val="0"/>
                      <w:dstrike w:val="0"/>
                      <w:color w:val="auto"/>
                      <w:kern w:val="2"/>
                      <w:sz w:val="21"/>
                      <w:szCs w:val="21"/>
                      <w:u w:val="none"/>
                      <w:lang w:val="en-US" w:eastAsia="zh-CN" w:bidi="ar-SA"/>
                    </w:rPr>
                    <w:t>游览</w:t>
                  </w:r>
                  <w:r>
                    <w:rPr>
                      <w:rFonts w:hint="eastAsia" w:ascii="微软雅黑" w:hAnsi="微软雅黑" w:eastAsia="微软雅黑" w:cs="微软雅黑"/>
                      <w:b/>
                      <w:bCs w:val="0"/>
                      <w:i w:val="0"/>
                      <w:iCs w:val="0"/>
                      <w:strike w:val="0"/>
                      <w:dstrike w:val="0"/>
                      <w:color w:val="FF0000"/>
                      <w:kern w:val="2"/>
                      <w:sz w:val="21"/>
                      <w:szCs w:val="21"/>
                      <w:u w:val="none"/>
                      <w:lang w:val="en-US" w:eastAsia="zh-CN" w:bidi="ar-SA"/>
                    </w:rPr>
                    <w:t>【中山陵景区】（含景区必销的往返景交）</w:t>
                  </w:r>
                  <w:r>
                    <w:rPr>
                      <w:rFonts w:hint="eastAsia" w:ascii="微软雅黑" w:hAnsi="微软雅黑" w:eastAsia="微软雅黑" w:cs="微软雅黑"/>
                      <w:color w:val="000000"/>
                      <w:sz w:val="21"/>
                      <w:szCs w:val="21"/>
                      <w:lang w:val="en-US" w:eastAsia="zh-CN"/>
                    </w:rPr>
                    <w:t>中山陵包括博爱坊、墓道、陵门、碑亭、祭堂和墓室等建筑。陵墓入口广场有高大的花岗岩牌坊，上面是“博爱”两个金字。往北走过博爱坊，就是近400米长的墓道，共有392级石阶，落差73米。沿墓道前行到达陵门，顶上是青色的琉璃瓦，门额上写着“天下为公”四个大字。再进为碑亭，继续向前直到祭堂。</w:t>
                  </w:r>
                </w:p>
                <w:p w14:paraId="1CC0E3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0000FF"/>
                      <w:sz w:val="21"/>
                      <w:szCs w:val="21"/>
                      <w:lang w:val="en-US" w:eastAsia="zh-CN"/>
                    </w:rPr>
                    <w:t>【温馨提示】：</w:t>
                  </w:r>
                  <w:r>
                    <w:rPr>
                      <w:rFonts w:hint="eastAsia" w:ascii="微软雅黑" w:hAnsi="微软雅黑" w:eastAsia="微软雅黑" w:cs="微软雅黑"/>
                      <w:color w:val="0000FF"/>
                      <w:sz w:val="21"/>
                      <w:szCs w:val="21"/>
                      <w:lang w:val="en-US" w:eastAsia="zh-CN"/>
                    </w:rPr>
                    <w:t>因周一或每天17：00以后部分场所闭馆，如因周一或旺季堵车只能游览中山陵部分场所，因是免费景区，无费用可退，敬请谅解！</w:t>
                  </w:r>
                </w:p>
              </w:tc>
            </w:tr>
            <w:tr w14:paraId="1C15E74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540D75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17：00</w:t>
                  </w:r>
                </w:p>
              </w:tc>
              <w:tc>
                <w:tcPr>
                  <w:tcW w:w="10093" w:type="dxa"/>
                  <w:tcBorders>
                    <w:top w:val="single" w:color="auto" w:sz="4" w:space="0"/>
                    <w:left w:val="nil"/>
                    <w:bottom w:val="single" w:color="auto" w:sz="4" w:space="0"/>
                    <w:right w:val="single" w:color="auto" w:sz="8" w:space="0"/>
                  </w:tcBorders>
                  <w:noWrap w:val="0"/>
                  <w:vAlign w:val="center"/>
                </w:tcPr>
                <w:p w14:paraId="6BA92A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kern w:val="2"/>
                      <w:sz w:val="21"/>
                      <w:szCs w:val="21"/>
                      <w:lang w:val="en-US" w:eastAsia="zh-CN" w:bidi="ar-SA"/>
                    </w:rPr>
                    <w:t>晚餐：</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南京十二秀坊餐</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10B578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bCs/>
                      <w:color w:val="0000FF"/>
                      <w:sz w:val="21"/>
                      <w:szCs w:val="21"/>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5127ABB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7DD405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eastAsia="zh-CN"/>
                    </w:rPr>
                    <w:t>18</w:t>
                  </w:r>
                  <w:r>
                    <w:rPr>
                      <w:rFonts w:hint="eastAsia" w:ascii="微软雅黑" w:hAnsi="微软雅黑" w:eastAsia="微软雅黑" w:cs="微软雅黑"/>
                      <w:sz w:val="21"/>
                      <w:szCs w:val="21"/>
                    </w:rPr>
                    <w:t>：00</w:t>
                  </w:r>
                </w:p>
              </w:tc>
              <w:tc>
                <w:tcPr>
                  <w:tcW w:w="10093" w:type="dxa"/>
                  <w:tcBorders>
                    <w:top w:val="single" w:color="auto" w:sz="4" w:space="0"/>
                    <w:left w:val="nil"/>
                    <w:bottom w:val="single" w:color="auto" w:sz="4" w:space="0"/>
                    <w:right w:val="single" w:color="auto" w:sz="8" w:space="0"/>
                  </w:tcBorders>
                  <w:noWrap w:val="0"/>
                  <w:vAlign w:val="center"/>
                </w:tcPr>
                <w:p w14:paraId="064B06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default" w:ascii="微软雅黑" w:hAnsi="微软雅黑" w:eastAsia="微软雅黑" w:cs="微软雅黑"/>
                      <w:b w:val="0"/>
                      <w:bCs w:val="0"/>
                      <w:sz w:val="21"/>
                      <w:szCs w:val="21"/>
                      <w:lang w:val="en-US"/>
                    </w:rPr>
                  </w:pPr>
                  <w:r>
                    <w:rPr>
                      <w:rFonts w:hint="eastAsia" w:ascii="微软雅黑" w:hAnsi="微软雅黑" w:eastAsia="微软雅黑" w:cs="微软雅黑"/>
                      <w:b w:val="0"/>
                      <w:bCs w:val="0"/>
                      <w:sz w:val="21"/>
                      <w:szCs w:val="21"/>
                      <w:lang w:val="en-US" w:eastAsia="zh-CN"/>
                    </w:rPr>
                    <w:t>参考酒店：南京西普诗鸿酒店 或 南京富悦国际大酒店 或 世纪缘酒店 或 南京新时代开元名都大酒店 或 同级酒店</w:t>
                  </w:r>
                </w:p>
              </w:tc>
            </w:tr>
            <w:tr w14:paraId="3F4AE909">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968" w:type="dxa"/>
                  <w:gridSpan w:val="2"/>
                  <w:tcBorders>
                    <w:top w:val="single" w:color="auto" w:sz="4" w:space="0"/>
                    <w:left w:val="single" w:color="auto" w:sz="8" w:space="0"/>
                    <w:bottom w:val="single" w:color="auto" w:sz="4" w:space="0"/>
                    <w:right w:val="single" w:color="auto" w:sz="8" w:space="0"/>
                  </w:tcBorders>
                  <w:noWrap w:val="0"/>
                  <w:vAlign w:val="center"/>
                </w:tcPr>
                <w:p w14:paraId="69EB87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w:t>
                  </w:r>
                  <w:r>
                    <w:rPr>
                      <w:rFonts w:hint="eastAsia" w:ascii="微软雅黑" w:hAnsi="微软雅黑" w:eastAsia="微软雅黑" w:cs="微软雅黑"/>
                      <w:b/>
                      <w:bCs/>
                      <w:sz w:val="30"/>
                      <w:szCs w:val="30"/>
                      <w:lang w:val="en-US" w:eastAsia="zh-CN"/>
                    </w:rPr>
                    <w:t>二</w:t>
                  </w:r>
                  <w:r>
                    <w:rPr>
                      <w:rFonts w:hint="eastAsia" w:ascii="微软雅黑" w:hAnsi="微软雅黑" w:eastAsia="微软雅黑" w:cs="微软雅黑"/>
                      <w:b/>
                      <w:bCs/>
                      <w:sz w:val="30"/>
                      <w:szCs w:val="30"/>
                    </w:rPr>
                    <w:t>天：</w:t>
                  </w:r>
                  <w:r>
                    <w:rPr>
                      <w:rFonts w:hint="eastAsia" w:ascii="微软雅黑" w:hAnsi="微软雅黑" w:eastAsia="微软雅黑" w:cs="微软雅黑"/>
                      <w:b/>
                      <w:bCs/>
                      <w:sz w:val="30"/>
                      <w:szCs w:val="30"/>
                      <w:lang w:val="en-US" w:eastAsia="zh-CN"/>
                    </w:rPr>
                    <w:t>南京</w:t>
                  </w:r>
                  <w:r>
                    <w:rPr>
                      <w:rFonts w:hint="eastAsia" w:ascii="微软雅黑" w:hAnsi="微软雅黑" w:eastAsia="微软雅黑" w:cs="微软雅黑"/>
                      <w:b/>
                      <w:bCs/>
                      <w:sz w:val="30"/>
                      <w:szCs w:val="30"/>
                    </w:rPr>
                    <w:t>—</w:t>
                  </w:r>
                  <w:r>
                    <w:rPr>
                      <w:rFonts w:hint="eastAsia" w:ascii="微软雅黑" w:hAnsi="微软雅黑" w:eastAsia="微软雅黑" w:cs="微软雅黑"/>
                      <w:b/>
                      <w:bCs/>
                      <w:sz w:val="30"/>
                      <w:szCs w:val="30"/>
                      <w:lang w:val="en-US" w:eastAsia="zh-CN"/>
                    </w:rPr>
                    <w:t>杭州</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2929CA2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02268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10093" w:type="dxa"/>
                  <w:tcBorders>
                    <w:top w:val="single" w:color="auto" w:sz="4" w:space="0"/>
                    <w:left w:val="nil"/>
                    <w:bottom w:val="single" w:color="auto" w:sz="4" w:space="0"/>
                    <w:right w:val="single" w:color="auto" w:sz="8" w:space="0"/>
                  </w:tcBorders>
                  <w:shd w:val="clear" w:color="auto" w:fill="D9D9D9"/>
                  <w:noWrap w:val="0"/>
                  <w:vAlign w:val="center"/>
                </w:tcPr>
                <w:p w14:paraId="27CC48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54578F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45B7B3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07：</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2102CD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0DE0894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3ADA35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08</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298C48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color w:val="FF0000"/>
                      <w:sz w:val="21"/>
                      <w:szCs w:val="21"/>
                      <w:lang w:val="en-US" w:eastAsia="zh-CN"/>
                    </w:rPr>
                    <w:t>宝藏网红打卡地</w:t>
                  </w: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FF0000"/>
                      <w:sz w:val="21"/>
                      <w:szCs w:val="21"/>
                      <w:lang w:val="en-US" w:eastAsia="zh-CN"/>
                    </w:rPr>
                    <w:t>南京溧水东庐山观音寺</w:t>
                  </w:r>
                  <w:r>
                    <w:rPr>
                      <w:rFonts w:hint="eastAsia" w:ascii="微软雅黑" w:hAnsi="微软雅黑" w:eastAsia="微软雅黑" w:cs="微软雅黑"/>
                      <w:b/>
                      <w:bCs/>
                      <w:color w:val="FF0000"/>
                      <w:sz w:val="21"/>
                      <w:szCs w:val="21"/>
                    </w:rPr>
                    <w:t>】</w:t>
                  </w:r>
                  <w:r>
                    <w:rPr>
                      <w:rFonts w:hint="eastAsia" w:ascii="微软雅黑" w:hAnsi="微软雅黑" w:eastAsia="微软雅黑" w:cs="微软雅黑"/>
                      <w:sz w:val="21"/>
                      <w:szCs w:val="21"/>
                    </w:rPr>
                    <w:t>，寺内有多个自带氛围感的打卡点，比如 9.9 米高的金身观音像、视觉冲击感极强的汉白玉半身佛，搭配秋林、薄雾或夕阳时，随手就能拍出禅意大片；净瓶广场的 72 瓣刻满经文的莲花步道、观音洞内光影斑驳的 6 米高玉观音像，都是拍剪影和氛围感照片的绝佳机位。而且这里适配新中式、汉服等穿搭风格，不少游客会专门为拍照而来，相关照片在社交平台很容易获得关注。</w:t>
                  </w:r>
                </w:p>
              </w:tc>
            </w:tr>
            <w:tr w14:paraId="273F58D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54DE59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09：00</w:t>
                  </w:r>
                </w:p>
              </w:tc>
              <w:tc>
                <w:tcPr>
                  <w:tcW w:w="10093" w:type="dxa"/>
                  <w:tcBorders>
                    <w:top w:val="single" w:color="auto" w:sz="4" w:space="0"/>
                    <w:left w:val="nil"/>
                    <w:bottom w:val="single" w:color="auto" w:sz="4" w:space="0"/>
                    <w:right w:val="single" w:color="auto" w:sz="8" w:space="0"/>
                  </w:tcBorders>
                  <w:noWrap w:val="0"/>
                  <w:vAlign w:val="center"/>
                </w:tcPr>
                <w:p w14:paraId="27813D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乘车前往无锡</w:t>
                  </w:r>
                </w:p>
              </w:tc>
            </w:tr>
            <w:tr w14:paraId="4F7FD21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1AE919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：00</w:t>
                  </w:r>
                </w:p>
              </w:tc>
              <w:tc>
                <w:tcPr>
                  <w:tcW w:w="10093" w:type="dxa"/>
                  <w:tcBorders>
                    <w:top w:val="single" w:color="auto" w:sz="4" w:space="0"/>
                    <w:left w:val="nil"/>
                    <w:bottom w:val="single" w:color="auto" w:sz="4" w:space="0"/>
                    <w:right w:val="single" w:color="auto" w:sz="8" w:space="0"/>
                  </w:tcBorders>
                  <w:noWrap w:val="0"/>
                  <w:vAlign w:val="center"/>
                </w:tcPr>
                <w:p w14:paraId="7659F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午餐</w:t>
                  </w:r>
                  <w:r>
                    <w:rPr>
                      <w:rFonts w:hint="eastAsia" w:ascii="微软雅黑" w:hAnsi="微软雅黑" w:eastAsia="微软雅黑" w:cs="微软雅黑"/>
                      <w:lang w:val="en-US" w:eastAsia="zh-CN"/>
                    </w:rPr>
                    <w:t>：</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无锡太湖三白宴</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294F22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631FE6C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1BBE3A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12：00</w:t>
                  </w:r>
                </w:p>
              </w:tc>
              <w:tc>
                <w:tcPr>
                  <w:tcW w:w="10093" w:type="dxa"/>
                  <w:tcBorders>
                    <w:top w:val="single" w:color="auto" w:sz="4" w:space="0"/>
                    <w:left w:val="nil"/>
                    <w:bottom w:val="single" w:color="auto" w:sz="4" w:space="0"/>
                    <w:right w:val="single" w:color="auto" w:sz="8" w:space="0"/>
                  </w:tcBorders>
                  <w:noWrap w:val="0"/>
                  <w:vAlign w:val="center"/>
                </w:tcPr>
                <w:p w14:paraId="2F0102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游览</w:t>
                  </w:r>
                  <w:r>
                    <w:rPr>
                      <w:rFonts w:hint="eastAsia" w:ascii="微软雅黑" w:hAnsi="微软雅黑" w:eastAsia="微软雅黑" w:cs="微软雅黑"/>
                      <w:b/>
                      <w:bCs/>
                      <w:color w:val="FF0000"/>
                      <w:sz w:val="21"/>
                      <w:szCs w:val="21"/>
                      <w:lang w:val="en-US" w:eastAsia="zh-CN"/>
                    </w:rPr>
                    <w:t>【灵山小镇·拈花湾景区】</w:t>
                  </w:r>
                  <w:r>
                    <w:rPr>
                      <w:rFonts w:hint="eastAsia" w:ascii="微软雅黑" w:hAnsi="微软雅黑" w:eastAsia="微软雅黑" w:cs="微软雅黑"/>
                      <w:sz w:val="21"/>
                      <w:szCs w:val="21"/>
                    </w:rPr>
                    <w:t>，拈花湾小镇位于江苏省无锡市滨湖区环山西路 68 号，地处马迹山半岛，依傍太湖，是一个以 “禅” 为主题的旅游度假目的地。同时融入了中国江南小镇特有的水系。建筑以唐风宋韵为主，屋顶多采用青瓦，坡面舒缓，木质梁柱搭配斗拱飞檐，古朴典雅。</w:t>
                  </w:r>
                </w:p>
              </w:tc>
            </w:tr>
            <w:tr w14:paraId="2194337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1A1803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1128FD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乘车前往杭州</w:t>
                  </w:r>
                </w:p>
              </w:tc>
            </w:tr>
            <w:tr w14:paraId="6007BD3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5C7914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17：30</w:t>
                  </w:r>
                </w:p>
              </w:tc>
              <w:tc>
                <w:tcPr>
                  <w:tcW w:w="10093" w:type="dxa"/>
                  <w:tcBorders>
                    <w:top w:val="single" w:color="auto" w:sz="4" w:space="0"/>
                    <w:left w:val="nil"/>
                    <w:bottom w:val="single" w:color="auto" w:sz="4" w:space="0"/>
                    <w:right w:val="single" w:color="auto" w:sz="8" w:space="0"/>
                  </w:tcBorders>
                  <w:noWrap w:val="0"/>
                  <w:vAlign w:val="center"/>
                </w:tcPr>
                <w:p w14:paraId="08165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lang w:val="en-US" w:eastAsia="zh-CN"/>
                    </w:rPr>
                    <w:t>晚餐：</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杭州风味餐</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70C02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3C687B8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58CDD3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757E94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b/>
                      <w:bCs/>
                      <w:color w:val="2B57FD"/>
                      <w:sz w:val="21"/>
                      <w:szCs w:val="21"/>
                      <w:lang w:eastAsia="zh-CN"/>
                    </w:rPr>
                    <w:t>【推荐自费项目：杭州宋城+千古情演出，3</w:t>
                  </w:r>
                  <w:r>
                    <w:rPr>
                      <w:rFonts w:hint="eastAsia" w:ascii="微软雅黑" w:hAnsi="微软雅黑" w:eastAsia="微软雅黑" w:cs="微软雅黑"/>
                      <w:b/>
                      <w:bCs/>
                      <w:color w:val="2B57FD"/>
                      <w:sz w:val="21"/>
                      <w:szCs w:val="21"/>
                      <w:lang w:val="en-US" w:eastAsia="zh-CN"/>
                    </w:rPr>
                    <w:t>2</w:t>
                  </w:r>
                  <w:r>
                    <w:rPr>
                      <w:rFonts w:hint="eastAsia" w:ascii="微软雅黑" w:hAnsi="微软雅黑" w:eastAsia="微软雅黑" w:cs="微软雅黑"/>
                      <w:b/>
                      <w:bCs/>
                      <w:color w:val="2B57FD"/>
                      <w:sz w:val="21"/>
                      <w:szCs w:val="21"/>
                      <w:lang w:eastAsia="zh-CN"/>
                    </w:rPr>
                    <w:t>0</w:t>
                  </w:r>
                  <w:r>
                    <w:rPr>
                      <w:rFonts w:hint="eastAsia" w:ascii="微软雅黑" w:hAnsi="微软雅黑" w:eastAsia="微软雅黑" w:cs="微软雅黑"/>
                      <w:b/>
                      <w:bCs/>
                      <w:color w:val="2B57FD"/>
                      <w:sz w:val="21"/>
                      <w:szCs w:val="21"/>
                      <w:lang w:val="en-US" w:eastAsia="zh-CN"/>
                    </w:rPr>
                    <w:t>-</w:t>
                  </w:r>
                  <w:r>
                    <w:rPr>
                      <w:rFonts w:hint="eastAsia" w:ascii="微软雅黑" w:hAnsi="微软雅黑" w:eastAsia="微软雅黑" w:cs="微软雅黑"/>
                      <w:b/>
                      <w:bCs/>
                      <w:color w:val="2B57FD"/>
                      <w:sz w:val="21"/>
                      <w:szCs w:val="21"/>
                      <w:lang w:eastAsia="zh-CN"/>
                    </w:rPr>
                    <w:t>3</w:t>
                  </w:r>
                  <w:r>
                    <w:rPr>
                      <w:rFonts w:hint="eastAsia" w:ascii="微软雅黑" w:hAnsi="微软雅黑" w:eastAsia="微软雅黑" w:cs="微软雅黑"/>
                      <w:b/>
                      <w:bCs/>
                      <w:color w:val="2B57FD"/>
                      <w:sz w:val="21"/>
                      <w:szCs w:val="21"/>
                      <w:lang w:val="en-US" w:eastAsia="zh-CN"/>
                    </w:rPr>
                    <w:t>5</w:t>
                  </w:r>
                  <w:r>
                    <w:rPr>
                      <w:rFonts w:hint="eastAsia" w:ascii="微软雅黑" w:hAnsi="微软雅黑" w:eastAsia="微软雅黑" w:cs="微软雅黑"/>
                      <w:b/>
                      <w:bCs/>
                      <w:color w:val="2B57FD"/>
                      <w:sz w:val="21"/>
                      <w:szCs w:val="21"/>
                      <w:lang w:eastAsia="zh-CN"/>
                    </w:rPr>
                    <w:t>0元/人】</w:t>
                  </w:r>
                  <w:r>
                    <w:rPr>
                      <w:rFonts w:hint="eastAsia" w:ascii="微软雅黑" w:hAnsi="微软雅黑" w:eastAsia="微软雅黑" w:cs="微软雅黑"/>
                      <w:sz w:val="21"/>
                      <w:szCs w:val="21"/>
                      <w:lang w:eastAsia="zh-CN"/>
                    </w:rPr>
                    <w:t>，游览被誉“世界三大名秀之一”—【宋城以及宋城千古情演出】（确切演出时间以景区当日公布为准！），有着“给我一天，还你千年”的曼妙意境，每一位到杭州的游客必看的剧目。以杭州的历史典故、神话传说为基点，融合歌舞、杂技艺术于一体，应用现代高科技手段营造如梦如幻的艺术效果，给人以强烈的视觉震撼。这是一部气势磅礴的民族史诗、一个缠绵迷离的美丽传说、一场盛况空前的皇宫庆典、一段气贯长虹的悲壮故事。</w:t>
                  </w:r>
                </w:p>
                <w:p w14:paraId="3AAA13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微软雅黑" w:hAnsi="微软雅黑" w:eastAsia="微软雅黑" w:cs="微软雅黑"/>
                      <w:b/>
                      <w:kern w:val="2"/>
                      <w:sz w:val="21"/>
                      <w:szCs w:val="21"/>
                      <w:lang w:val="en-US" w:eastAsia="zh-CN" w:bidi="ar-SA"/>
                    </w:rPr>
                  </w:pPr>
                  <w:r>
                    <w:rPr>
                      <w:rFonts w:hint="eastAsia" w:ascii="微软雅黑" w:hAnsi="微软雅黑" w:eastAsia="微软雅黑" w:cs="微软雅黑"/>
                      <w:b w:val="0"/>
                      <w:bCs w:val="0"/>
                      <w:color w:val="FF0000"/>
                      <w:sz w:val="21"/>
                      <w:szCs w:val="21"/>
                      <w:lang w:val="en-US" w:eastAsia="zh-CN"/>
                    </w:rPr>
                    <w:t>【温馨提示】：</w:t>
                  </w:r>
                  <w:r>
                    <w:rPr>
                      <w:rFonts w:hint="eastAsia" w:ascii="微软雅黑" w:hAnsi="微软雅黑" w:eastAsia="微软雅黑" w:cs="微软雅黑"/>
                      <w:sz w:val="21"/>
                      <w:szCs w:val="21"/>
                      <w:lang w:eastAsia="zh-CN"/>
                    </w:rPr>
                    <w:t>因自费项目包含司机车费、导游服务费，如需自行购票，需要补交100元/人相关费用，也可自行前往，请谅解！</w:t>
                  </w:r>
                </w:p>
              </w:tc>
            </w:tr>
            <w:tr w14:paraId="3F2711E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36D91C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2</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：00</w:t>
                  </w:r>
                </w:p>
              </w:tc>
              <w:tc>
                <w:tcPr>
                  <w:tcW w:w="10093" w:type="dxa"/>
                  <w:tcBorders>
                    <w:top w:val="single" w:color="auto" w:sz="4" w:space="0"/>
                    <w:left w:val="nil"/>
                    <w:bottom w:val="single" w:color="auto" w:sz="4" w:space="0"/>
                    <w:right w:val="single" w:color="auto" w:sz="8" w:space="0"/>
                  </w:tcBorders>
                  <w:noWrap w:val="0"/>
                  <w:vAlign w:val="center"/>
                </w:tcPr>
                <w:p w14:paraId="5AB82D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参考酒店：杭州开元名都大酒店 或 浙江广电开元名都大酒店 或 金马饭店 或 杭州三立开元名都大酒店 或 杭州太虚湖假日酒店 或 杭州星澜酒店 或 杭州盛泰开元名都大酒店 或 杭州紫金港莎玛酒店 或 杭州浙旅开元名庭大酒店 或 杭州白马湖建国饭店 或 同级酒店</w:t>
                  </w:r>
                </w:p>
              </w:tc>
            </w:tr>
            <w:tr w14:paraId="3075DA4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968" w:type="dxa"/>
                  <w:gridSpan w:val="2"/>
                  <w:tcBorders>
                    <w:top w:val="single" w:color="auto" w:sz="4" w:space="0"/>
                    <w:left w:val="single" w:color="auto" w:sz="8" w:space="0"/>
                    <w:bottom w:val="single" w:color="auto" w:sz="4" w:space="0"/>
                    <w:right w:val="single" w:color="auto" w:sz="8" w:space="0"/>
                  </w:tcBorders>
                  <w:noWrap w:val="0"/>
                  <w:vAlign w:val="center"/>
                </w:tcPr>
                <w:p w14:paraId="0C6188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w:t>
                  </w:r>
                  <w:r>
                    <w:rPr>
                      <w:rFonts w:hint="eastAsia" w:ascii="微软雅黑" w:hAnsi="微软雅黑" w:eastAsia="微软雅黑" w:cs="微软雅黑"/>
                      <w:b/>
                      <w:bCs/>
                      <w:sz w:val="30"/>
                      <w:szCs w:val="30"/>
                      <w:lang w:val="en-US" w:eastAsia="zh-CN"/>
                    </w:rPr>
                    <w:t>三</w:t>
                  </w:r>
                  <w:r>
                    <w:rPr>
                      <w:rFonts w:hint="eastAsia" w:ascii="微软雅黑" w:hAnsi="微软雅黑" w:eastAsia="微软雅黑" w:cs="微软雅黑"/>
                      <w:b/>
                      <w:bCs/>
                      <w:sz w:val="30"/>
                      <w:szCs w:val="30"/>
                    </w:rPr>
                    <w:t>天：</w:t>
                  </w:r>
                  <w:r>
                    <w:rPr>
                      <w:rFonts w:hint="eastAsia" w:ascii="微软雅黑" w:hAnsi="微软雅黑" w:eastAsia="微软雅黑" w:cs="微软雅黑"/>
                      <w:b/>
                      <w:bCs/>
                      <w:sz w:val="30"/>
                      <w:szCs w:val="30"/>
                      <w:lang w:val="en-US" w:eastAsia="zh-CN"/>
                    </w:rPr>
                    <w:t>杭州—乌镇</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早餐√、中餐√、晚餐√</w:t>
                  </w:r>
                </w:p>
              </w:tc>
            </w:tr>
            <w:tr w14:paraId="7919789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1C46E0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10093" w:type="dxa"/>
                  <w:tcBorders>
                    <w:top w:val="single" w:color="auto" w:sz="4" w:space="0"/>
                    <w:left w:val="nil"/>
                    <w:bottom w:val="single" w:color="auto" w:sz="4" w:space="0"/>
                    <w:right w:val="single" w:color="auto" w:sz="8" w:space="0"/>
                  </w:tcBorders>
                  <w:shd w:val="clear" w:color="auto" w:fill="D9D9D9"/>
                  <w:noWrap w:val="0"/>
                  <w:vAlign w:val="center"/>
                </w:tcPr>
                <w:p w14:paraId="0AFF8A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379FC56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2081E2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07：</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3B3849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454A498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5FA9C3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08</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356A5E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漫步</w:t>
                  </w:r>
                  <w:r>
                    <w:rPr>
                      <w:rFonts w:hint="eastAsia" w:ascii="微软雅黑" w:hAnsi="微软雅黑" w:eastAsia="微软雅黑" w:cs="微软雅黑"/>
                      <w:b/>
                      <w:bCs/>
                      <w:color w:val="FF0000"/>
                      <w:sz w:val="21"/>
                      <w:szCs w:val="21"/>
                    </w:rPr>
                    <w:t>【西湖】+【苏堤】</w:t>
                  </w:r>
                  <w:r>
                    <w:rPr>
                      <w:rFonts w:hint="eastAsia" w:ascii="微软雅黑" w:hAnsi="微软雅黑" w:eastAsia="微软雅黑" w:cs="微软雅黑"/>
                      <w:sz w:val="21"/>
                      <w:szCs w:val="21"/>
                    </w:rPr>
                    <w:t>西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w:t>
                  </w:r>
                </w:p>
                <w:p w14:paraId="4F08D3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b/>
                      <w:bCs/>
                      <w:color w:val="0000FF"/>
                    </w:rPr>
                  </w:pPr>
                  <w:r>
                    <w:rPr>
                      <w:rFonts w:hint="eastAsia" w:ascii="微软雅黑" w:hAnsi="微软雅黑" w:eastAsia="微软雅黑" w:cs="微软雅黑"/>
                      <w:b/>
                      <w:bCs/>
                      <w:color w:val="0000FF"/>
                    </w:rPr>
                    <w:t>【温馨提示】：</w:t>
                  </w:r>
                </w:p>
                <w:p w14:paraId="297B3A7D">
                  <w:pPr>
                    <w:keepNext w:val="0"/>
                    <w:keepLines w:val="0"/>
                    <w:suppressLineNumbers w:val="0"/>
                    <w:spacing w:before="0" w:beforeAutospacing="0" w:after="0" w:afterAutospacing="0" w:line="340" w:lineRule="exact"/>
                    <w:ind w:left="0" w:right="0"/>
                    <w:rPr>
                      <w:rFonts w:hint="default" w:ascii="微软雅黑" w:hAnsi="微软雅黑" w:eastAsia="微软雅黑" w:cs="微软雅黑"/>
                      <w:b w:val="0"/>
                      <w:bCs w:val="0"/>
                      <w:color w:val="0000FF"/>
                      <w:kern w:val="0"/>
                      <w:sz w:val="21"/>
                      <w:szCs w:val="21"/>
                      <w:lang w:val="en-US" w:eastAsia="zh-CN" w:bidi="ar-SA"/>
                    </w:rPr>
                  </w:pPr>
                  <w:r>
                    <w:rPr>
                      <w:rFonts w:hint="eastAsia" w:ascii="微软雅黑" w:hAnsi="微软雅黑" w:eastAsia="微软雅黑" w:cs="微软雅黑"/>
                      <w:b w:val="0"/>
                      <w:bCs w:val="0"/>
                      <w:color w:val="0000FF"/>
                      <w:kern w:val="0"/>
                      <w:sz w:val="21"/>
                      <w:szCs w:val="21"/>
                      <w:lang w:val="en-US" w:eastAsia="zh-CN" w:bidi="ar-SA"/>
                    </w:rPr>
                    <w:t>1、西湖可以选择乘坐游船，费用不包含，60元/位，如需敬请自理！</w:t>
                  </w:r>
                </w:p>
                <w:p w14:paraId="54C585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color w:val="0000FF"/>
                      <w:lang w:val="en-US" w:eastAsia="zh-CN"/>
                    </w:rPr>
                    <w:t>2</w:t>
                  </w:r>
                  <w:r>
                    <w:rPr>
                      <w:rFonts w:hint="eastAsia" w:ascii="微软雅黑" w:hAnsi="微软雅黑" w:eastAsia="微软雅黑" w:cs="微软雅黑"/>
                      <w:color w:val="0000FF"/>
                    </w:rPr>
                    <w:t>、涉及</w:t>
                  </w:r>
                  <w:r>
                    <w:rPr>
                      <w:rFonts w:hint="eastAsia" w:ascii="微软雅黑" w:hAnsi="微软雅黑" w:eastAsia="微软雅黑" w:cs="微软雅黑"/>
                      <w:color w:val="0000FF"/>
                      <w:lang w:val="en-US" w:eastAsia="zh-CN"/>
                    </w:rPr>
                    <w:t>周末、节假日、旅游旺季等</w:t>
                  </w:r>
                  <w:r>
                    <w:rPr>
                      <w:rFonts w:hint="eastAsia" w:ascii="微软雅黑" w:hAnsi="微软雅黑" w:eastAsia="微软雅黑" w:cs="微软雅黑"/>
                      <w:color w:val="0000FF"/>
                    </w:rPr>
                    <w:t>，大巴车禁止进入，需要换乘公交车，</w:t>
                  </w:r>
                  <w:r>
                    <w:rPr>
                      <w:rFonts w:hint="eastAsia" w:ascii="微软雅黑" w:hAnsi="微软雅黑" w:eastAsia="微软雅黑" w:cs="微软雅黑"/>
                      <w:color w:val="0000FF"/>
                      <w:lang w:val="en-US" w:eastAsia="zh-CN"/>
                    </w:rPr>
                    <w:t>费用已含，</w:t>
                  </w:r>
                  <w:r>
                    <w:rPr>
                      <w:rFonts w:hint="eastAsia" w:ascii="微软雅黑" w:hAnsi="微软雅黑" w:eastAsia="微软雅黑" w:cs="微软雅黑"/>
                      <w:color w:val="0000FF"/>
                    </w:rPr>
                    <w:t>敬请谅解！</w:t>
                  </w:r>
                </w:p>
              </w:tc>
            </w:tr>
            <w:tr w14:paraId="1750355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0589C0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10：30</w:t>
                  </w:r>
                </w:p>
              </w:tc>
              <w:tc>
                <w:tcPr>
                  <w:tcW w:w="10093" w:type="dxa"/>
                  <w:tcBorders>
                    <w:top w:val="single" w:color="auto" w:sz="4" w:space="0"/>
                    <w:left w:val="nil"/>
                    <w:bottom w:val="single" w:color="auto" w:sz="4" w:space="0"/>
                    <w:right w:val="single" w:color="auto" w:sz="8" w:space="0"/>
                  </w:tcBorders>
                  <w:shd w:val="clear" w:color="auto" w:fill="auto"/>
                  <w:noWrap w:val="0"/>
                  <w:vAlign w:val="center"/>
                </w:tcPr>
                <w:p w14:paraId="1ECF95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FF0000"/>
                      <w:sz w:val="21"/>
                      <w:szCs w:val="21"/>
                    </w:rPr>
                    <w:t>【河坊街</w:t>
                  </w:r>
                  <w:r>
                    <w:rPr>
                      <w:rFonts w:hint="eastAsia" w:ascii="微软雅黑" w:hAnsi="微软雅黑" w:eastAsia="微软雅黑" w:cs="微软雅黑"/>
                      <w:color w:val="FF0000"/>
                      <w:sz w:val="21"/>
                      <w:szCs w:val="21"/>
                    </w:rPr>
                    <w:t>】</w:t>
                  </w:r>
                  <w:r>
                    <w:rPr>
                      <w:rFonts w:hint="eastAsia" w:ascii="微软雅黑" w:hAnsi="微软雅黑" w:eastAsia="微软雅黑" w:cs="微软雅黑"/>
                      <w:sz w:val="21"/>
                      <w:szCs w:val="21"/>
                    </w:rPr>
                    <w:t>位于吴山脚下，是清河坊的一部分，属于杭州老城区，东起江城路，向西越南北向得建国南路、中河中路、中山中路、华光路、劳动路至南山路，路长1800多米，吴山广场至中山中路段为步行街，青石板路面，路宽13米，其余路宽32米。旧时，与中山中路相交得“清河坊四拐角”，自民国以来，分别为孔凤春香粉店、宓大昌旱烟、万隆火腿店、张允升帽庄四家各踞一角，成为当时远近闻名的区片。杭城闻名的“五杭”（杭粉、杭剪、杭扇、杭烟、杭线）就出与此。 这里特色小吃、 古玩字画、商铺云集。老字号、杭州特色各类店铺约有一百余家。</w:t>
                  </w:r>
                </w:p>
              </w:tc>
            </w:tr>
            <w:tr w14:paraId="4A25D3D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02ACBB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0D693C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午餐：</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龙井御茶宴</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50B942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4CBF219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0CA8EA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14：00</w:t>
                  </w:r>
                </w:p>
              </w:tc>
              <w:tc>
                <w:tcPr>
                  <w:tcW w:w="10093" w:type="dxa"/>
                  <w:tcBorders>
                    <w:top w:val="single" w:color="auto" w:sz="4" w:space="0"/>
                    <w:left w:val="nil"/>
                    <w:bottom w:val="single" w:color="auto" w:sz="4" w:space="0"/>
                    <w:right w:val="single" w:color="auto" w:sz="8" w:space="0"/>
                  </w:tcBorders>
                  <w:noWrap w:val="0"/>
                  <w:vAlign w:val="center"/>
                </w:tcPr>
                <w:p w14:paraId="3CCEE9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color w:val="0000FF"/>
                      <w:lang w:val="en-US" w:eastAsia="zh-CN"/>
                    </w:rPr>
                  </w:pPr>
                  <w:r>
                    <w:rPr>
                      <w:rFonts w:hint="eastAsia" w:ascii="微软雅黑" w:hAnsi="微软雅黑" w:eastAsia="微软雅黑" w:cs="微软雅黑"/>
                      <w:b w:val="0"/>
                      <w:bCs w:val="0"/>
                      <w:color w:val="auto"/>
                      <w:kern w:val="0"/>
                      <w:sz w:val="21"/>
                      <w:szCs w:val="21"/>
                      <w:lang w:val="en-US" w:eastAsia="zh-CN" w:bidi="ar-SA"/>
                    </w:rPr>
                    <w:t>集合前往桐乡乌镇</w:t>
                  </w:r>
                </w:p>
              </w:tc>
            </w:tr>
            <w:tr w14:paraId="7BAA859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2B0CAD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16：00</w:t>
                  </w:r>
                </w:p>
              </w:tc>
              <w:tc>
                <w:tcPr>
                  <w:tcW w:w="10093" w:type="dxa"/>
                  <w:tcBorders>
                    <w:top w:val="single" w:color="auto" w:sz="4" w:space="0"/>
                    <w:left w:val="nil"/>
                    <w:bottom w:val="single" w:color="auto" w:sz="4" w:space="0"/>
                    <w:right w:val="single" w:color="auto" w:sz="8" w:space="0"/>
                  </w:tcBorders>
                  <w:noWrap w:val="0"/>
                  <w:vAlign w:val="center"/>
                </w:tcPr>
                <w:p w14:paraId="10B092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lang w:val="en-US" w:eastAsia="zh-CN"/>
                    </w:rPr>
                  </w:pPr>
                  <w:r>
                    <w:rPr>
                      <w:rFonts w:hint="eastAsia" w:ascii="微软雅黑" w:hAnsi="微软雅黑" w:eastAsia="微软雅黑" w:cs="微软雅黑"/>
                      <w:color w:val="000000"/>
                      <w:lang w:val="en-US" w:eastAsia="zh-CN"/>
                    </w:rPr>
                    <w:t>游览</w:t>
                  </w:r>
                  <w:r>
                    <w:rPr>
                      <w:rFonts w:hint="eastAsia" w:ascii="微软雅黑" w:hAnsi="微软雅黑" w:eastAsia="微软雅黑" w:cs="微软雅黑"/>
                      <w:b/>
                      <w:bCs/>
                      <w:color w:val="FF0000"/>
                      <w:lang w:val="en-US" w:eastAsia="zh-CN"/>
                    </w:rPr>
                    <w:t>【乌镇西栅】</w:t>
                  </w:r>
                  <w:r>
                    <w:rPr>
                      <w:rFonts w:hint="eastAsia" w:ascii="微软雅黑" w:hAnsi="微软雅黑" w:eastAsia="微软雅黑" w:cs="微软雅黑"/>
                      <w:color w:val="000000"/>
                      <w:lang w:val="en-US" w:eastAsia="zh-CN"/>
                    </w:rPr>
                    <w:t>，</w:t>
                  </w:r>
                  <w:r>
                    <w:rPr>
                      <w:rFonts w:hint="eastAsia" w:ascii="微软雅黑" w:hAnsi="微软雅黑" w:eastAsia="微软雅黑" w:cs="微软雅黑"/>
                      <w:lang w:val="en-US" w:eastAsia="zh-CN"/>
                    </w:rPr>
                    <w:t>西栅是乌镇的精华所在，虽与东栅同为主要景区，但这里没有东栅的繁闹市井，一切都经过重新整修和设计，街头巷尾的咖啡馆、酒吧，充满了文艺情怀。乘摇橹夜游西栅是非常值得推荐的体验，灯影桨声里的江南水乡分外迷人。</w:t>
                  </w:r>
                </w:p>
                <w:p w14:paraId="6F8F99F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自由活动推荐游览路线（仅供参考具体以实际为准）：乌镇大剧院→安渡坊渡口→草木本色染坊→水上集市→定升桥→昭明书院→乌镇老邮局→国乐剧院→白莲塔→酒吧一条街。</w:t>
                  </w:r>
                </w:p>
                <w:p w14:paraId="7FEF587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推荐打卡点(自由活动时可根据自身情况打卡):</w:t>
                  </w:r>
                </w:p>
                <w:p w14:paraId="0AF351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1.白莲塔：夜空中古镇的亮点，尤其是其灯光映衬在水中，如梦如幻，给人一种宁静而神秘的感觉。</w:t>
                  </w:r>
                </w:p>
                <w:p w14:paraId="3CE92D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2.西栅老街：夜晚的老街灯火通明，古色古香的建筑在灯光的映照下更显得韵味十足。</w:t>
                  </w:r>
                </w:p>
                <w:p w14:paraId="30715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3.水上集市：这里也是整个西栅夜景幽静的地方，灯火燃亮的时候，仿佛进入《千与千寻》的梦境。</w:t>
                  </w:r>
                </w:p>
                <w:p w14:paraId="3D0E8B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4.昭草木本色染坊：在景区中心的必游景点，书院很有人文历史情怀，旁边的染坊也是拍照的好地方。</w:t>
                  </w:r>
                </w:p>
                <w:p w14:paraId="1E2EB3B2">
                  <w:pPr>
                    <w:keepNext w:val="0"/>
                    <w:keepLines w:val="0"/>
                    <w:suppressLineNumbers w:val="0"/>
                    <w:spacing w:before="0" w:beforeAutospacing="0" w:after="0" w:afterAutospacing="0" w:line="34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5.沿河两侧小巷、临水长凳：充满江南水乡故事风格，可以让照片更具韵味。</w:t>
                  </w:r>
                </w:p>
              </w:tc>
            </w:tr>
            <w:tr w14:paraId="79083AA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4A58E4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641852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晚餐</w:t>
                  </w:r>
                  <w:r>
                    <w:rPr>
                      <w:rFonts w:hint="eastAsia" w:ascii="微软雅黑" w:hAnsi="微软雅黑" w:eastAsia="微软雅黑" w:cs="微软雅黑"/>
                      <w:sz w:val="21"/>
                      <w:szCs w:val="21"/>
                    </w:rPr>
                    <w:t>：</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水乡特色宴</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5D032B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5017B59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617" w:hRule="atLeast"/>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1FBFC8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18：15</w:t>
                  </w:r>
                </w:p>
              </w:tc>
              <w:tc>
                <w:tcPr>
                  <w:tcW w:w="10093" w:type="dxa"/>
                  <w:tcBorders>
                    <w:top w:val="single" w:color="auto" w:sz="4" w:space="0"/>
                    <w:left w:val="nil"/>
                    <w:bottom w:val="single" w:color="auto" w:sz="4" w:space="0"/>
                    <w:right w:val="single" w:color="auto" w:sz="8" w:space="0"/>
                  </w:tcBorders>
                  <w:noWrap w:val="0"/>
                  <w:vAlign w:val="center"/>
                </w:tcPr>
                <w:p w14:paraId="67E0D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top"/>
                    <w:rPr>
                      <w:rFonts w:hint="eastAsia" w:ascii="微软雅黑" w:hAnsi="微软雅黑" w:eastAsia="微软雅黑" w:cs="微软雅黑"/>
                      <w:sz w:val="21"/>
                      <w:szCs w:val="21"/>
                    </w:rPr>
                  </w:pPr>
                  <w:r>
                    <w:rPr>
                      <w:rFonts w:hint="eastAsia" w:ascii="微软雅黑" w:hAnsi="微软雅黑" w:eastAsia="微软雅黑" w:cs="微软雅黑"/>
                      <w:b/>
                      <w:bCs/>
                      <w:color w:val="FF0000"/>
                      <w:sz w:val="21"/>
                      <w:szCs w:val="21"/>
                    </w:rPr>
                    <w:t>【夜游西栅】</w:t>
                  </w:r>
                  <w:r>
                    <w:rPr>
                      <w:rFonts w:hint="eastAsia" w:ascii="微软雅黑" w:hAnsi="微软雅黑" w:eastAsia="微软雅黑" w:cs="微软雅黑"/>
                      <w:sz w:val="21"/>
                      <w:szCs w:val="21"/>
                    </w:rPr>
                    <w:t>如果白天的乌镇给了你原汁原味的江南水乡风情感受，那么夜晚的乌镇会带给你迥然不同的风情，人们常说的“宿在乌镇，枕水江南”就从一个侧面解读了乌镇夜色的美妙。</w:t>
                  </w:r>
                </w:p>
                <w:p w14:paraId="70D095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top"/>
                    <w:rPr>
                      <w:rFonts w:hint="eastAsia" w:ascii="微软雅黑" w:hAnsi="微软雅黑" w:eastAsia="微软雅黑" w:cs="Arial"/>
                      <w:b/>
                      <w:color w:val="F074C6"/>
                      <w:kern w:val="0"/>
                      <w:sz w:val="21"/>
                      <w:szCs w:val="22"/>
                      <w:lang w:val="en-US" w:eastAsia="zh-CN" w:bidi="ar-SA"/>
                    </w:rPr>
                  </w:pPr>
                  <w:r>
                    <w:rPr>
                      <w:rFonts w:hint="eastAsia" w:ascii="微软雅黑" w:hAnsi="微软雅黑" w:eastAsia="微软雅黑" w:cs="Arial"/>
                      <w:b/>
                      <w:color w:val="F074C6"/>
                      <w:kern w:val="0"/>
                      <w:sz w:val="21"/>
                      <w:szCs w:val="22"/>
                      <w:lang w:val="en-US" w:eastAsia="zh-CN" w:bidi="ar-SA"/>
                    </w:rPr>
                    <w:t>贴心赠送：每组家庭赠送一个。水乡提灯走桥，入夜时分，时空的泛光照明陆续亮起，提一盏精美的花灯，穿行其中，更有民宿、酒家的灯笼点缀其间。</w:t>
                  </w:r>
                </w:p>
              </w:tc>
            </w:tr>
            <w:tr w14:paraId="6E67D02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4E34E5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：00</w:t>
                  </w:r>
                </w:p>
              </w:tc>
              <w:tc>
                <w:tcPr>
                  <w:tcW w:w="10093" w:type="dxa"/>
                  <w:tcBorders>
                    <w:top w:val="single" w:color="auto" w:sz="4" w:space="0"/>
                    <w:left w:val="nil"/>
                    <w:bottom w:val="single" w:color="auto" w:sz="4" w:space="0"/>
                    <w:right w:val="single" w:color="auto" w:sz="8" w:space="0"/>
                  </w:tcBorders>
                  <w:noWrap w:val="0"/>
                  <w:vAlign w:val="center"/>
                </w:tcPr>
                <w:p w14:paraId="3FA1FC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 xml:space="preserve">入住酒店：乌镇西栅景区内度假客栈，如遇景区团队房满则调整至乌镇子夜大酒店  </w:t>
                  </w:r>
                  <w:r>
                    <w:rPr>
                      <w:rFonts w:hint="eastAsia" w:ascii="微软雅黑" w:hAnsi="微软雅黑" w:eastAsia="微软雅黑" w:cs="微软雅黑"/>
                      <w:sz w:val="21"/>
                      <w:szCs w:val="21"/>
                    </w:rPr>
                    <w:t>或</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云贝尔贵族酒店</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或</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桐乡振石大酒店 或 桐乡伊甸园</w:t>
                  </w:r>
                  <w:r>
                    <w:rPr>
                      <w:rFonts w:hint="eastAsia" w:ascii="微软雅黑" w:hAnsi="微软雅黑" w:eastAsia="微软雅黑" w:cs="微软雅黑"/>
                      <w:sz w:val="21"/>
                      <w:szCs w:val="21"/>
                      <w:lang w:val="en-US" w:eastAsia="zh-CN"/>
                    </w:rPr>
                    <w:t>酒店</w:t>
                  </w:r>
                  <w:r>
                    <w:rPr>
                      <w:rFonts w:hint="eastAsia" w:ascii="微软雅黑" w:hAnsi="微软雅黑" w:eastAsia="微软雅黑" w:cs="微软雅黑"/>
                      <w:sz w:val="21"/>
                      <w:szCs w:val="21"/>
                    </w:rPr>
                    <w:t xml:space="preserve"> 或 同级</w:t>
                  </w:r>
                </w:p>
              </w:tc>
            </w:tr>
            <w:tr w14:paraId="0E6ACCF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968" w:type="dxa"/>
                  <w:gridSpan w:val="2"/>
                  <w:tcBorders>
                    <w:top w:val="single" w:color="auto" w:sz="4" w:space="0"/>
                    <w:left w:val="single" w:color="auto" w:sz="8" w:space="0"/>
                    <w:bottom w:val="single" w:color="auto" w:sz="4" w:space="0"/>
                    <w:right w:val="single" w:color="auto" w:sz="8" w:space="0"/>
                  </w:tcBorders>
                  <w:noWrap w:val="0"/>
                  <w:vAlign w:val="center"/>
                </w:tcPr>
                <w:p w14:paraId="596BD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w:t>
                  </w:r>
                  <w:r>
                    <w:rPr>
                      <w:rFonts w:hint="eastAsia" w:ascii="微软雅黑" w:hAnsi="微软雅黑" w:eastAsia="微软雅黑" w:cs="微软雅黑"/>
                      <w:b/>
                      <w:bCs/>
                      <w:sz w:val="30"/>
                      <w:szCs w:val="30"/>
                      <w:lang w:val="en-US" w:eastAsia="zh-CN"/>
                    </w:rPr>
                    <w:t>四</w:t>
                  </w:r>
                  <w:r>
                    <w:rPr>
                      <w:rFonts w:hint="eastAsia" w:ascii="微软雅黑" w:hAnsi="微软雅黑" w:eastAsia="微软雅黑" w:cs="微软雅黑"/>
                      <w:b/>
                      <w:bCs/>
                      <w:sz w:val="30"/>
                      <w:szCs w:val="30"/>
                    </w:rPr>
                    <w:t>天：</w:t>
                  </w:r>
                  <w:r>
                    <w:rPr>
                      <w:rFonts w:hint="eastAsia" w:ascii="微软雅黑" w:hAnsi="微软雅黑" w:eastAsia="微软雅黑" w:cs="微软雅黑"/>
                      <w:b/>
                      <w:bCs/>
                      <w:sz w:val="30"/>
                      <w:szCs w:val="30"/>
                      <w:lang w:val="en-US" w:eastAsia="zh-CN"/>
                    </w:rPr>
                    <w:t>乌镇</w:t>
                  </w:r>
                  <w:r>
                    <w:rPr>
                      <w:rFonts w:hint="eastAsia" w:ascii="微软雅黑" w:hAnsi="微软雅黑" w:eastAsia="微软雅黑" w:cs="微软雅黑"/>
                      <w:b/>
                      <w:bCs/>
                      <w:sz w:val="30"/>
                      <w:szCs w:val="30"/>
                    </w:rPr>
                    <w:t>—</w:t>
                  </w:r>
                  <w:r>
                    <w:rPr>
                      <w:rFonts w:hint="eastAsia" w:ascii="微软雅黑" w:hAnsi="微软雅黑" w:eastAsia="微软雅黑" w:cs="微软雅黑"/>
                      <w:b/>
                      <w:bCs/>
                      <w:sz w:val="30"/>
                      <w:szCs w:val="30"/>
                      <w:lang w:val="en-US" w:eastAsia="zh-CN"/>
                    </w:rPr>
                    <w:t>苏州</w:t>
                  </w:r>
                  <w:r>
                    <w:rPr>
                      <w:rFonts w:hint="eastAsia" w:ascii="微软雅黑" w:hAnsi="微软雅黑" w:eastAsia="微软雅黑" w:cs="微软雅黑"/>
                      <w:b/>
                      <w:bCs/>
                      <w:sz w:val="30"/>
                      <w:szCs w:val="30"/>
                    </w:rPr>
                    <w:t>—上海</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48D5427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005D58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10093" w:type="dxa"/>
                  <w:tcBorders>
                    <w:top w:val="single" w:color="auto" w:sz="4" w:space="0"/>
                    <w:left w:val="nil"/>
                    <w:bottom w:val="single" w:color="auto" w:sz="4" w:space="0"/>
                    <w:right w:val="single" w:color="auto" w:sz="8" w:space="0"/>
                  </w:tcBorders>
                  <w:shd w:val="clear" w:color="auto" w:fill="D9D9D9"/>
                  <w:noWrap w:val="0"/>
                  <w:vAlign w:val="center"/>
                </w:tcPr>
                <w:p w14:paraId="123075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AC82B6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0AF298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07：30</w:t>
                  </w:r>
                </w:p>
              </w:tc>
              <w:tc>
                <w:tcPr>
                  <w:tcW w:w="10093" w:type="dxa"/>
                  <w:tcBorders>
                    <w:top w:val="single" w:color="auto" w:sz="4" w:space="0"/>
                    <w:left w:val="nil"/>
                    <w:bottom w:val="single" w:color="auto" w:sz="4" w:space="0"/>
                    <w:right w:val="single" w:color="auto" w:sz="8" w:space="0"/>
                  </w:tcBorders>
                  <w:noWrap w:val="0"/>
                  <w:vAlign w:val="center"/>
                </w:tcPr>
                <w:p w14:paraId="71B6F9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1B33D04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770D9A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08：30</w:t>
                  </w:r>
                </w:p>
              </w:tc>
              <w:tc>
                <w:tcPr>
                  <w:tcW w:w="10093" w:type="dxa"/>
                  <w:tcBorders>
                    <w:top w:val="single" w:color="auto" w:sz="4" w:space="0"/>
                    <w:left w:val="nil"/>
                    <w:bottom w:val="single" w:color="auto" w:sz="4" w:space="0"/>
                    <w:right w:val="single" w:color="auto" w:sz="8" w:space="0"/>
                  </w:tcBorders>
                  <w:noWrap w:val="0"/>
                  <w:vAlign w:val="center"/>
                </w:tcPr>
                <w:p w14:paraId="0A42D3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乘车前往苏州</w:t>
                  </w:r>
                </w:p>
              </w:tc>
            </w:tr>
            <w:tr w14:paraId="5924EC2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3F9244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2113E8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lang w:val="en-US" w:eastAsia="zh-CN"/>
                    </w:rPr>
                    <w:t>游览</w:t>
                  </w:r>
                  <w:r>
                    <w:rPr>
                      <w:rFonts w:hint="eastAsia" w:ascii="微软雅黑" w:hAnsi="微软雅黑" w:eastAsia="微软雅黑" w:cs="微软雅黑"/>
                      <w:b/>
                      <w:bCs/>
                      <w:color w:val="FF0000"/>
                      <w:lang w:val="en-US" w:eastAsia="zh-CN"/>
                    </w:rPr>
                    <w:t>【拙政园】</w:t>
                  </w:r>
                  <w:r>
                    <w:rPr>
                      <w:rFonts w:hint="eastAsia" w:ascii="微软雅黑" w:hAnsi="微软雅黑" w:eastAsia="微软雅黑" w:cs="微软雅黑"/>
                      <w:color w:val="000000"/>
                      <w:lang w:val="en-US" w:eastAsia="zh-CN"/>
                    </w:rPr>
                    <w:t>拙政园是苏州有名的园林，全园以水为中心，萦绕错落有致的假山及精致的庭院建筑，花木并茂。这一江南园林典范与北京颐和园、承德避暑山庄、苏州留园并称为“中国四大名园”，并被列入世界文化遗产名录。</w:t>
                  </w:r>
                </w:p>
                <w:p w14:paraId="3B9749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b w:val="0"/>
                      <w:bCs w:val="0"/>
                      <w:color w:val="0000FF"/>
                      <w:kern w:val="0"/>
                      <w:sz w:val="21"/>
                      <w:szCs w:val="21"/>
                      <w:lang w:val="en-US" w:eastAsia="zh-CN" w:bidi="ar-SA"/>
                    </w:rPr>
                  </w:pPr>
                  <w:r>
                    <w:rPr>
                      <w:rFonts w:hint="eastAsia" w:ascii="微软雅黑" w:hAnsi="微软雅黑" w:eastAsia="微软雅黑" w:cs="微软雅黑"/>
                      <w:b w:val="0"/>
                      <w:bCs w:val="0"/>
                      <w:color w:val="0000FF"/>
                      <w:kern w:val="0"/>
                      <w:sz w:val="21"/>
                      <w:szCs w:val="21"/>
                      <w:lang w:val="en-US" w:eastAsia="zh-CN" w:bidi="ar-SA"/>
                    </w:rPr>
                    <w:t>【温馨提示】：如遇旅游旺季或节假日，预约名额已满，则调整游览【留园】，敬请谅解！</w:t>
                  </w:r>
                </w:p>
                <w:p w14:paraId="7FF581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b w:val="0"/>
                      <w:bCs w:val="0"/>
                      <w:color w:val="000000"/>
                      <w:lang w:val="en-US" w:eastAsia="zh-CN"/>
                    </w:rPr>
                  </w:pPr>
                  <w:r>
                    <w:rPr>
                      <w:rFonts w:hint="eastAsia" w:ascii="微软雅黑" w:hAnsi="微软雅黑" w:eastAsia="微软雅黑" w:cs="微软雅黑"/>
                      <w:b/>
                      <w:bCs/>
                      <w:kern w:val="2"/>
                      <w:sz w:val="21"/>
                      <w:szCs w:val="21"/>
                      <w:lang w:val="en-US" w:eastAsia="zh-CN" w:bidi="ar-SA"/>
                    </w:rPr>
                    <w:t>推荐打卡点(自由活动时可根据自身情况打卡):</w:t>
                  </w:r>
                </w:p>
                <w:p w14:paraId="638657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lang w:val="en-US" w:eastAsia="zh-CN"/>
                    </w:rPr>
                    <w:t>1.</w:t>
                  </w:r>
                  <w:r>
                    <w:rPr>
                      <w:rFonts w:hint="eastAsia" w:ascii="微软雅黑" w:hAnsi="微软雅黑" w:eastAsia="微软雅黑" w:cs="微软雅黑"/>
                      <w:b w:val="0"/>
                      <w:bCs w:val="0"/>
                      <w:color w:val="000000"/>
                    </w:rPr>
                    <w:t>荷花池：池水清澈，可以拍摄到园林建筑与池水相互映衬的美丽画面，非常美丽。</w:t>
                  </w:r>
                </w:p>
                <w:p w14:paraId="5CC329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lang w:val="en-US" w:eastAsia="zh-CN"/>
                    </w:rPr>
                    <w:t>2.</w:t>
                  </w:r>
                  <w:r>
                    <w:rPr>
                      <w:rFonts w:hint="eastAsia" w:ascii="微软雅黑" w:hAnsi="微软雅黑" w:eastAsia="微软雅黑" w:cs="微软雅黑"/>
                      <w:b w:val="0"/>
                      <w:bCs w:val="0"/>
                      <w:color w:val="000000"/>
                    </w:rPr>
                    <w:t>廊桥：拙政园内有多座廊桥，站在桥上可以拍摄到园林的全景，非常壮观。</w:t>
                  </w:r>
                </w:p>
                <w:p w14:paraId="57C7D9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lang w:val="en-US" w:eastAsia="zh-CN"/>
                    </w:rPr>
                    <w:t>3.</w:t>
                  </w:r>
                  <w:r>
                    <w:rPr>
                      <w:rFonts w:hint="eastAsia" w:ascii="微软雅黑" w:hAnsi="微软雅黑" w:eastAsia="微软雅黑" w:cs="微软雅黑"/>
                      <w:b w:val="0"/>
                      <w:bCs w:val="0"/>
                      <w:color w:val="000000"/>
                    </w:rPr>
                    <w:t>假山：拙政园内有一座巨大的假山，山上有多个观赏点，可以从不同的角度欣赏园林的美景。</w:t>
                  </w:r>
                </w:p>
                <w:p w14:paraId="2FF529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b w:val="0"/>
                      <w:bCs w:val="0"/>
                      <w:color w:val="000000"/>
                    </w:rPr>
                  </w:pPr>
                  <w:r>
                    <w:rPr>
                      <w:rFonts w:hint="eastAsia" w:ascii="微软雅黑" w:hAnsi="微软雅黑" w:eastAsia="微软雅黑" w:cs="微软雅黑"/>
                      <w:b w:val="0"/>
                      <w:bCs w:val="0"/>
                      <w:color w:val="000000"/>
                      <w:lang w:val="en-US" w:eastAsia="zh-CN"/>
                    </w:rPr>
                    <w:t>4.</w:t>
                  </w:r>
                  <w:r>
                    <w:rPr>
                      <w:rFonts w:hint="eastAsia" w:ascii="微软雅黑" w:hAnsi="微软雅黑" w:eastAsia="微软雅黑" w:cs="微软雅黑"/>
                      <w:b w:val="0"/>
                      <w:bCs w:val="0"/>
                      <w:color w:val="000000"/>
                    </w:rPr>
                    <w:t>竹林：拙政园内有一片茂密的竹林，阳光透过竹叶洒在地上形成斑驳的光影，非常适合拍照。</w:t>
                  </w:r>
                </w:p>
                <w:p w14:paraId="0A17F3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微软雅黑" w:hAnsi="微软雅黑" w:eastAsia="微软雅黑" w:cs="微软雅黑"/>
                      <w:b/>
                      <w:color w:val="FF0000"/>
                      <w:sz w:val="21"/>
                      <w:szCs w:val="21"/>
                    </w:rPr>
                  </w:pPr>
                  <w:r>
                    <w:rPr>
                      <w:rFonts w:hint="eastAsia" w:ascii="微软雅黑" w:hAnsi="微软雅黑" w:eastAsia="微软雅黑" w:cs="微软雅黑"/>
                      <w:b w:val="0"/>
                      <w:bCs w:val="0"/>
                      <w:color w:val="000000"/>
                      <w:lang w:val="en-US" w:eastAsia="zh-CN"/>
                    </w:rPr>
                    <w:t>5.</w:t>
                  </w:r>
                  <w:r>
                    <w:rPr>
                      <w:rFonts w:hint="eastAsia" w:ascii="微软雅黑" w:hAnsi="微软雅黑" w:eastAsia="微软雅黑" w:cs="微软雅黑"/>
                      <w:b w:val="0"/>
                      <w:bCs w:val="0"/>
                      <w:color w:val="000000"/>
                    </w:rPr>
                    <w:t>庭院：拙政园内有许多精美的庭院，独特的设计和景观，可以拍摄到园林的细节和精致的建筑。</w:t>
                  </w:r>
                </w:p>
              </w:tc>
            </w:tr>
            <w:tr w14:paraId="6CE937D9">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488617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729E16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午餐：</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苏州本帮菜</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1BD8D5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3856157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5F5E48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13</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14401C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乘车前往中国第一水乡——周庄古镇</w:t>
                  </w:r>
                </w:p>
              </w:tc>
            </w:tr>
            <w:tr w14:paraId="663666F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497BA2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14</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21E8A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FF0000"/>
                      <w:sz w:val="21"/>
                      <w:szCs w:val="21"/>
                    </w:rPr>
                    <w:t>【周庄古镇】</w:t>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color w:val="FF0000"/>
                      <w:sz w:val="21"/>
                      <w:szCs w:val="21"/>
                      <w:lang w:val="en-US" w:eastAsia="zh-CN"/>
                    </w:rPr>
                    <w:t>含景交往返交通车</w:t>
                  </w:r>
                  <w:r>
                    <w:rPr>
                      <w:rFonts w:hint="eastAsia" w:ascii="微软雅黑" w:hAnsi="微软雅黑" w:eastAsia="微软雅黑" w:cs="微软雅黑"/>
                      <w:b/>
                      <w:bCs/>
                      <w:color w:val="FF0000"/>
                      <w:sz w:val="21"/>
                      <w:szCs w:val="21"/>
                      <w:lang w:eastAsia="zh-CN"/>
                    </w:rPr>
                    <w:t>）</w:t>
                  </w:r>
                  <w:r>
                    <w:rPr>
                      <w:rFonts w:hint="eastAsia" w:ascii="微软雅黑" w:hAnsi="微软雅黑" w:eastAsia="微软雅黑" w:cs="微软雅黑"/>
                      <w:b/>
                      <w:bCs/>
                      <w:sz w:val="21"/>
                      <w:szCs w:val="21"/>
                    </w:rPr>
                    <w:t>，</w:t>
                  </w:r>
                  <w:r>
                    <w:rPr>
                      <w:rFonts w:hint="eastAsia" w:ascii="微软雅黑" w:hAnsi="微软雅黑" w:eastAsia="微软雅黑" w:cs="微软雅黑"/>
                      <w:sz w:val="21"/>
                      <w:szCs w:val="21"/>
                    </w:rPr>
                    <w:t>1984陈逸飞的一幅画，把周庄推到了世界面前。徜徉在这个900年历史的水乡石路上，你完全可以摆脱商贩们的叫卖喧嚷，体验那种别样的江南余韵。黑瓦白墙的江南民居高高低低地沿河排列，斑驳的马墙面简直闻得出历史的苍郁味，但朱红的窗棂却又透露出一丝活泼的生活气息。小桥流水与人家，双桥水巷摇橹船，还有沈万三的足迹待你寻访。</w:t>
                  </w:r>
                </w:p>
                <w:p w14:paraId="354D2F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b/>
                      <w:bCs/>
                      <w:color w:val="0000FF"/>
                    </w:rPr>
                    <w:t>【温馨提示】：</w:t>
                  </w:r>
                  <w:r>
                    <w:rPr>
                      <w:rFonts w:hint="eastAsia" w:ascii="微软雅黑" w:hAnsi="微软雅黑" w:eastAsia="微软雅黑" w:cs="微软雅黑"/>
                      <w:color w:val="0000FF"/>
                      <w:sz w:val="21"/>
                      <w:szCs w:val="21"/>
                    </w:rPr>
                    <w:t>由于周庄受古迹保护，周庄大桥禁止大巴车通过，需要换乘景区电瓶车或者摆渡船驶入，电瓶车20元/人往返</w:t>
                  </w:r>
                  <w:r>
                    <w:rPr>
                      <w:rFonts w:hint="eastAsia" w:ascii="微软雅黑" w:hAnsi="微软雅黑" w:eastAsia="微软雅黑" w:cs="微软雅黑"/>
                      <w:color w:val="0000FF"/>
                      <w:sz w:val="21"/>
                      <w:szCs w:val="21"/>
                      <w:lang w:val="en-US" w:eastAsia="zh-CN"/>
                    </w:rPr>
                    <w:t>我们已经包含，如需升级乘坐游船进入则需自理费用。</w:t>
                  </w:r>
                </w:p>
              </w:tc>
            </w:tr>
            <w:tr w14:paraId="2C95C32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4C7F70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16：00</w:t>
                  </w:r>
                </w:p>
              </w:tc>
              <w:tc>
                <w:tcPr>
                  <w:tcW w:w="10093" w:type="dxa"/>
                  <w:tcBorders>
                    <w:top w:val="single" w:color="auto" w:sz="4" w:space="0"/>
                    <w:left w:val="nil"/>
                    <w:bottom w:val="single" w:color="auto" w:sz="4" w:space="0"/>
                    <w:right w:val="single" w:color="auto" w:sz="8" w:space="0"/>
                  </w:tcBorders>
                  <w:noWrap w:val="0"/>
                  <w:vAlign w:val="center"/>
                </w:tcPr>
                <w:p w14:paraId="2FF3D8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集合前往“东方巴黎”—上海。</w:t>
                  </w:r>
                  <w:r>
                    <w:rPr>
                      <w:rFonts w:hint="eastAsia" w:ascii="微软雅黑" w:hAnsi="微软雅黑" w:eastAsia="微软雅黑" w:cs="微软雅黑"/>
                      <w:sz w:val="21"/>
                      <w:szCs w:val="21"/>
                      <w:lang w:val="en-US" w:eastAsia="zh-CN"/>
                    </w:rPr>
                    <w:t>如第一天未参加上海夜景自费 可第五天参加 自费</w:t>
                  </w:r>
                  <w:r>
                    <w:rPr>
                      <w:rFonts w:hint="eastAsia" w:ascii="微软雅黑" w:hAnsi="微软雅黑" w:eastAsia="微软雅黑" w:cs="微软雅黑"/>
                      <w:b/>
                      <w:bCs/>
                      <w:color w:val="FF0000"/>
                      <w:sz w:val="21"/>
                      <w:szCs w:val="21"/>
                      <w:lang w:val="en-US" w:eastAsia="zh-CN"/>
                    </w:rPr>
                    <w:t>非2+1车型</w:t>
                  </w:r>
                </w:p>
              </w:tc>
            </w:tr>
            <w:tr w14:paraId="7B29AD1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56DB32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17：00</w:t>
                  </w:r>
                </w:p>
              </w:tc>
              <w:tc>
                <w:tcPr>
                  <w:tcW w:w="10093" w:type="dxa"/>
                  <w:tcBorders>
                    <w:top w:val="single" w:color="auto" w:sz="4" w:space="0"/>
                    <w:left w:val="nil"/>
                    <w:bottom w:val="single" w:color="auto" w:sz="4" w:space="0"/>
                    <w:right w:val="single" w:color="auto" w:sz="8" w:space="0"/>
                  </w:tcBorders>
                  <w:noWrap w:val="0"/>
                  <w:vAlign w:val="center"/>
                </w:tcPr>
                <w:p w14:paraId="746CB6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晚</w:t>
                  </w:r>
                  <w:r>
                    <w:rPr>
                      <w:rFonts w:hint="eastAsia" w:ascii="微软雅黑" w:hAnsi="微软雅黑" w:eastAsia="微软雅黑" w:cs="微软雅黑"/>
                      <w:sz w:val="21"/>
                      <w:szCs w:val="21"/>
                    </w:rPr>
                    <w:t>餐：</w:t>
                  </w:r>
                  <w:r>
                    <w:rPr>
                      <w:rStyle w:val="12"/>
                      <w:rFonts w:hint="eastAsia" w:ascii="微软雅黑" w:hAnsi="微软雅黑" w:eastAsia="微软雅黑" w:cs="微软雅黑"/>
                      <w:color w:val="00B050"/>
                      <w:spacing w:val="7"/>
                      <w:sz w:val="21"/>
                      <w:szCs w:val="21"/>
                      <w:lang w:eastAsia="zh-CN"/>
                    </w:rPr>
                    <w:t>【</w:t>
                  </w:r>
                  <w:r>
                    <w:rPr>
                      <w:rStyle w:val="12"/>
                      <w:rFonts w:hint="eastAsia" w:ascii="微软雅黑" w:hAnsi="微软雅黑" w:eastAsia="微软雅黑" w:cs="微软雅黑"/>
                      <w:color w:val="00B050"/>
                      <w:spacing w:val="7"/>
                      <w:sz w:val="21"/>
                      <w:szCs w:val="21"/>
                      <w:lang w:val="en-US" w:eastAsia="zh-CN"/>
                    </w:rPr>
                    <w:t>上海风味餐</w:t>
                  </w:r>
                  <w:r>
                    <w:rPr>
                      <w:rStyle w:val="12"/>
                      <w:rFonts w:hint="eastAsia" w:ascii="微软雅黑" w:hAnsi="微软雅黑" w:eastAsia="微软雅黑" w:cs="微软雅黑"/>
                      <w:color w:val="00B050"/>
                      <w:spacing w:val="7"/>
                      <w:sz w:val="21"/>
                      <w:szCs w:val="21"/>
                      <w:lang w:eastAsia="zh-CN"/>
                    </w:rPr>
                    <w:t>】</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5FFCF4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3909E6D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6926DD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18：00</w:t>
                  </w:r>
                </w:p>
              </w:tc>
              <w:tc>
                <w:tcPr>
                  <w:tcW w:w="10093" w:type="dxa"/>
                  <w:tcBorders>
                    <w:top w:val="single" w:color="auto" w:sz="4" w:space="0"/>
                    <w:left w:val="nil"/>
                    <w:bottom w:val="single" w:color="auto" w:sz="4" w:space="0"/>
                    <w:right w:val="single" w:color="auto" w:sz="8" w:space="0"/>
                  </w:tcBorders>
                  <w:shd w:val="clear"/>
                  <w:noWrap w:val="0"/>
                  <w:vAlign w:val="center"/>
                </w:tcPr>
                <w:p w14:paraId="66103D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b/>
                      <w:bCs/>
                      <w:color w:val="2B57FD"/>
                      <w:sz w:val="21"/>
                      <w:szCs w:val="21"/>
                      <w:lang w:val="en-US" w:eastAsia="zh-CN"/>
                    </w:rPr>
                    <w:t>【推荐自费项目：浦江游船+金茂大厦】</w:t>
                  </w:r>
                  <w:r>
                    <w:rPr>
                      <w:rFonts w:hint="eastAsia" w:ascii="微软雅黑" w:hAnsi="微软雅黑" w:eastAsia="微软雅黑" w:cs="微软雅黑"/>
                      <w:b w:val="0"/>
                      <w:bCs w:val="0"/>
                      <w:color w:val="000000"/>
                      <w:sz w:val="21"/>
                      <w:szCs w:val="21"/>
                      <w:lang w:val="en-US" w:eastAsia="zh-CN"/>
                    </w:rPr>
                    <w:t>（现付导游300-320元/人）</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val="0"/>
                      <w:bCs w:val="0"/>
                      <w:sz w:val="21"/>
                      <w:szCs w:val="21"/>
                      <w:lang w:eastAsia="zh-CN"/>
                    </w:rPr>
                    <w:t>不可错过的上海夜景，感受魅力魔都。乘黄浦江游轮夜游黄浦江，欣赏浦江两岸的迷人夜色，登88层金贸大厦，从空中观赏外滩的夜景，每到夜幕降临，外滩的万国建筑就披上了靓丽的外衣，灯火辉煌，霓虹闪烁，不禁让人漾起似水流年般的怀旧之感。</w:t>
                  </w:r>
                </w:p>
                <w:p w14:paraId="1BDBBA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b w:val="0"/>
                      <w:bCs w:val="0"/>
                      <w:color w:val="FF0000"/>
                      <w:sz w:val="21"/>
                      <w:szCs w:val="21"/>
                      <w:lang w:val="en-US" w:eastAsia="zh-CN"/>
                    </w:rPr>
                  </w:pPr>
                  <w:r>
                    <w:rPr>
                      <w:rFonts w:hint="eastAsia" w:ascii="微软雅黑" w:hAnsi="微软雅黑" w:eastAsia="微软雅黑" w:cs="微软雅黑"/>
                      <w:b w:val="0"/>
                      <w:bCs w:val="0"/>
                      <w:color w:val="FF0000"/>
                      <w:sz w:val="21"/>
                      <w:szCs w:val="21"/>
                      <w:lang w:val="en-US" w:eastAsia="zh-CN"/>
                    </w:rPr>
                    <w:t>【温馨提示】：</w:t>
                  </w:r>
                </w:p>
                <w:p w14:paraId="6E699A5E">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left"/>
                    <w:rPr>
                      <w:rFonts w:hint="eastAsia" w:ascii="微软雅黑" w:hAnsi="微软雅黑" w:eastAsia="微软雅黑" w:cs="微软雅黑"/>
                      <w:sz w:val="21"/>
                      <w:szCs w:val="21"/>
                      <w:lang w:eastAsia="zh-CN"/>
                    </w:rPr>
                  </w:pPr>
                  <w:r>
                    <w:rPr>
                      <w:rFonts w:hint="eastAsia" w:ascii="微软雅黑" w:hAnsi="微软雅黑" w:eastAsia="微软雅黑" w:cs="微软雅黑"/>
                      <w:b w:val="0"/>
                      <w:bCs w:val="0"/>
                      <w:sz w:val="21"/>
                      <w:szCs w:val="21"/>
                      <w:lang w:val="en-US" w:eastAsia="zh-CN"/>
                    </w:rPr>
                    <w:t>1、</w:t>
                  </w:r>
                  <w:r>
                    <w:rPr>
                      <w:rFonts w:hint="eastAsia" w:ascii="微软雅黑" w:hAnsi="微软雅黑" w:eastAsia="微软雅黑" w:cs="微软雅黑"/>
                      <w:b w:val="0"/>
                      <w:bCs w:val="0"/>
                      <w:sz w:val="21"/>
                      <w:szCs w:val="21"/>
                      <w:lang w:eastAsia="zh-CN"/>
                    </w:rPr>
                    <w:t>浦江游轮经常由</w:t>
                  </w:r>
                  <w:r>
                    <w:rPr>
                      <w:rFonts w:hint="eastAsia" w:ascii="微软雅黑" w:hAnsi="微软雅黑" w:eastAsia="微软雅黑" w:cs="微软雅黑"/>
                      <w:sz w:val="21"/>
                      <w:szCs w:val="21"/>
                      <w:lang w:eastAsia="zh-CN"/>
                    </w:rPr>
                    <w:t>于天气原因短暂停航，由于团队行程无法耽误时间，停航我们将按照100元/成人退票处理，儿童无费用可退，敬请谅解！</w:t>
                  </w:r>
                </w:p>
                <w:p w14:paraId="777A26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因自费项目包含司机车费、导游服务费，如需自行购票，需要补交100元/人相关费用，也可自行前往，</w:t>
                  </w:r>
                </w:p>
                <w:p w14:paraId="5777E2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eastAsia="zh-CN"/>
                    </w:rPr>
                    <w:t>请谅解！</w:t>
                  </w:r>
                </w:p>
              </w:tc>
            </w:tr>
            <w:tr w14:paraId="4012C98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8" w:space="0"/>
                    <w:right w:val="single" w:color="auto" w:sz="6" w:space="0"/>
                  </w:tcBorders>
                  <w:noWrap w:val="0"/>
                  <w:vAlign w:val="center"/>
                </w:tcPr>
                <w:p w14:paraId="10936A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晚上</w:t>
                  </w:r>
                </w:p>
              </w:tc>
              <w:tc>
                <w:tcPr>
                  <w:tcW w:w="10093" w:type="dxa"/>
                  <w:tcBorders>
                    <w:top w:val="single" w:color="auto" w:sz="4" w:space="0"/>
                    <w:left w:val="nil"/>
                    <w:bottom w:val="single" w:color="auto" w:sz="8" w:space="0"/>
                    <w:right w:val="single" w:color="auto" w:sz="8" w:space="0"/>
                  </w:tcBorders>
                  <w:noWrap w:val="0"/>
                  <w:vAlign w:val="center"/>
                </w:tcPr>
                <w:p w14:paraId="3437DF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sz w:val="21"/>
                      <w:szCs w:val="21"/>
                      <w:lang w:val="en-US" w:eastAsia="zh-CN"/>
                    </w:rPr>
                    <w:t>参考酒店：</w:t>
                  </w:r>
                  <w:r>
                    <w:rPr>
                      <w:rFonts w:hint="eastAsia" w:ascii="微软雅黑" w:hAnsi="微软雅黑" w:eastAsia="微软雅黑" w:cs="微软雅黑"/>
                      <w:color w:val="000000"/>
                      <w:sz w:val="21"/>
                      <w:szCs w:val="21"/>
                    </w:rPr>
                    <w:t>上海浦东绿地</w:t>
                  </w:r>
                  <w:r>
                    <w:rPr>
                      <w:rFonts w:hint="eastAsia" w:ascii="微软雅黑" w:hAnsi="微软雅黑" w:eastAsia="微软雅黑" w:cs="微软雅黑"/>
                      <w:color w:val="000000"/>
                      <w:sz w:val="21"/>
                      <w:szCs w:val="21"/>
                      <w:lang w:val="en-US" w:eastAsia="zh-CN"/>
                    </w:rPr>
                    <w:t>假日</w:t>
                  </w:r>
                  <w:r>
                    <w:rPr>
                      <w:rFonts w:hint="eastAsia" w:ascii="微软雅黑" w:hAnsi="微软雅黑" w:eastAsia="微软雅黑" w:cs="微软雅黑"/>
                      <w:color w:val="000000"/>
                      <w:sz w:val="21"/>
                      <w:szCs w:val="21"/>
                    </w:rPr>
                    <w:t>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上海智微世纪酒店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上海浦东丽呈华廷酒店 或 </w:t>
                  </w:r>
                  <w:r>
                    <w:rPr>
                      <w:rFonts w:hint="eastAsia" w:ascii="微软雅黑" w:hAnsi="微软雅黑" w:eastAsia="微软雅黑" w:cs="微软雅黑"/>
                      <w:color w:val="000000"/>
                      <w:sz w:val="21"/>
                      <w:szCs w:val="21"/>
                    </w:rPr>
                    <w:t>上海大华虹桥假日酒店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上海富豪金丰酒店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上海君澜度假酒店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上海浦东温德姆酒店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上海皇廷国际大酒店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上海虹桥温德姆酒店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上海浦东主题乐园万信酒店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上海虹桥兖矿郁锦香酒店</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或</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同级</w:t>
                  </w:r>
                  <w:r>
                    <w:rPr>
                      <w:rFonts w:hint="eastAsia" w:ascii="微软雅黑" w:hAnsi="微软雅黑" w:eastAsia="微软雅黑" w:cs="微软雅黑"/>
                      <w:color w:val="000000"/>
                      <w:sz w:val="21"/>
                      <w:szCs w:val="21"/>
                      <w:lang w:val="en-US" w:eastAsia="zh-CN"/>
                    </w:rPr>
                    <w:t>酒店</w:t>
                  </w:r>
                </w:p>
              </w:tc>
            </w:tr>
            <w:tr w14:paraId="03E7B97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968" w:type="dxa"/>
                  <w:gridSpan w:val="2"/>
                  <w:tcBorders>
                    <w:top w:val="single" w:color="auto" w:sz="4" w:space="0"/>
                    <w:left w:val="single" w:color="auto" w:sz="8" w:space="0"/>
                    <w:bottom w:val="single" w:color="auto" w:sz="4" w:space="0"/>
                    <w:right w:val="single" w:color="auto" w:sz="8" w:space="0"/>
                  </w:tcBorders>
                  <w:noWrap w:val="0"/>
                  <w:vAlign w:val="center"/>
                </w:tcPr>
                <w:p w14:paraId="3807E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w:t>
                  </w:r>
                  <w:r>
                    <w:rPr>
                      <w:rFonts w:hint="eastAsia" w:ascii="微软雅黑" w:hAnsi="微软雅黑" w:eastAsia="微软雅黑" w:cs="微软雅黑"/>
                      <w:b/>
                      <w:bCs/>
                      <w:sz w:val="30"/>
                      <w:szCs w:val="30"/>
                      <w:lang w:val="en-US" w:eastAsia="zh-CN"/>
                    </w:rPr>
                    <w:t>五</w:t>
                  </w:r>
                  <w:r>
                    <w:rPr>
                      <w:rFonts w:hint="eastAsia" w:ascii="微软雅黑" w:hAnsi="微软雅黑" w:eastAsia="微软雅黑" w:cs="微软雅黑"/>
                      <w:b/>
                      <w:bCs/>
                      <w:sz w:val="30"/>
                      <w:szCs w:val="30"/>
                    </w:rPr>
                    <w:t>天：上海散团</w:t>
                  </w:r>
                  <w:r>
                    <w:rPr>
                      <w:rFonts w:hint="eastAsia" w:ascii="微软雅黑" w:hAnsi="微软雅黑" w:eastAsia="微软雅黑" w:cs="微软雅黑"/>
                      <w:b/>
                      <w:bCs/>
                      <w:sz w:val="30"/>
                      <w:szCs w:val="30"/>
                      <w:lang w:val="en-US" w:eastAsia="zh-CN"/>
                    </w:rPr>
                    <w:t>【独家送站模式，非2+1车型】</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347662A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16F03F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10093" w:type="dxa"/>
                  <w:tcBorders>
                    <w:top w:val="single" w:color="auto" w:sz="4" w:space="0"/>
                    <w:left w:val="nil"/>
                    <w:bottom w:val="single" w:color="auto" w:sz="4" w:space="0"/>
                    <w:right w:val="single" w:color="auto" w:sz="8" w:space="0"/>
                  </w:tcBorders>
                  <w:shd w:val="clear" w:color="auto" w:fill="D9D9D9"/>
                  <w:noWrap w:val="0"/>
                  <w:vAlign w:val="center"/>
                </w:tcPr>
                <w:p w14:paraId="2D0AC6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5A3392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71C78F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07：00</w:t>
                  </w:r>
                </w:p>
              </w:tc>
              <w:tc>
                <w:tcPr>
                  <w:tcW w:w="10093" w:type="dxa"/>
                  <w:tcBorders>
                    <w:top w:val="single" w:color="auto" w:sz="4" w:space="0"/>
                    <w:left w:val="nil"/>
                    <w:bottom w:val="single" w:color="auto" w:sz="4" w:space="0"/>
                    <w:right w:val="single" w:color="auto" w:sz="8" w:space="0"/>
                  </w:tcBorders>
                  <w:noWrap w:val="0"/>
                  <w:vAlign w:val="center"/>
                </w:tcPr>
                <w:p w14:paraId="5401C3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酒店享用早餐</w:t>
                  </w:r>
                </w:p>
              </w:tc>
            </w:tr>
            <w:tr w14:paraId="64AFAD6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431A2C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08：</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1EE03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根据返程交通时间分为两种送站模式</w:t>
                  </w:r>
                </w:p>
                <w:p w14:paraId="1312D4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一：返程交通为当日14：00或14：00之前的航班或车次，我们将于酒店直接送机/站，无活动安排。</w:t>
                  </w:r>
                </w:p>
                <w:p w14:paraId="504E36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班车分为2个时间节点，第一趟安排以返程最早的客人为准，第二趟为中午12：00左右。</w:t>
                  </w:r>
                </w:p>
                <w:p w14:paraId="16E0ED84">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返程晚于14：00的航班或车次，我们将于酒店安排班车08：30送至外滩服务中心后，自由活动。</w:t>
                  </w:r>
                </w:p>
                <w:p w14:paraId="0EF1C4D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下午安排2趟免费送机/站班车，时间为：11：00、15：00。</w:t>
                  </w:r>
                </w:p>
              </w:tc>
            </w:tr>
            <w:tr w14:paraId="771132F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23FE1C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09：</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10093" w:type="dxa"/>
                  <w:tcBorders>
                    <w:top w:val="single" w:color="auto" w:sz="4" w:space="0"/>
                    <w:left w:val="nil"/>
                    <w:bottom w:val="single" w:color="auto" w:sz="4" w:space="0"/>
                    <w:right w:val="single" w:color="auto" w:sz="8" w:space="0"/>
                  </w:tcBorders>
                  <w:noWrap w:val="0"/>
                  <w:vAlign w:val="center"/>
                </w:tcPr>
                <w:p w14:paraId="6D7963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自由活动推荐玩法：【南京路】（步行约1</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分钟）、【外滩】（步行约2分钟）</w:t>
                  </w:r>
                </w:p>
                <w:p w14:paraId="39E2D1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FF0000"/>
                      <w:sz w:val="21"/>
                      <w:szCs w:val="21"/>
                    </w:rPr>
                    <w:t>【外滩】</w:t>
                  </w:r>
                  <w:r>
                    <w:rPr>
                      <w:rFonts w:hint="eastAsia" w:ascii="微软雅黑" w:hAnsi="微软雅黑" w:eastAsia="微软雅黑" w:cs="微软雅黑"/>
                      <w:sz w:val="21"/>
                      <w:szCs w:val="21"/>
                    </w:rPr>
                    <w:t>（免费），外滩是位于上海市中心黄浦江西岸外白渡桥至金陵东路之间的步行观光带，是最具上海城市象征意义的景点之一，万国建筑群、浦江夜景是这里最具魅力的景观。外滩全长1.5公里，由南向北漫步，左手边是宽阔的中山东一路，路边一字排开着数十栋风格迥异的外国建筑；</w:t>
                  </w:r>
                </w:p>
                <w:p w14:paraId="22E5E6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FF0000"/>
                      <w:sz w:val="21"/>
                      <w:szCs w:val="21"/>
                    </w:rPr>
                    <w:t>【南京路步行街】</w:t>
                  </w:r>
                  <w:r>
                    <w:rPr>
                      <w:rFonts w:hint="eastAsia" w:ascii="微软雅黑" w:hAnsi="微软雅黑" w:eastAsia="微软雅黑" w:cs="微软雅黑"/>
                      <w:sz w:val="21"/>
                      <w:szCs w:val="21"/>
                    </w:rPr>
                    <w:t>（免费），南京路步行街西起西藏中路，东至河南中路，步行街的东西两端均有一块暗红色大理石屏，上面是江泽民主席亲笔题写的“南京路步行街”6个大字。走在步行街上别只顾购物，千万别忘了仔细看看市百一店、永安商厦、上海时装公司和第一食品商店这“四大公司”。</w:t>
                  </w:r>
                </w:p>
              </w:tc>
            </w:tr>
            <w:tr w14:paraId="0FF69E6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875" w:type="dxa"/>
                  <w:tcBorders>
                    <w:top w:val="single" w:color="auto" w:sz="4" w:space="0"/>
                    <w:left w:val="single" w:color="auto" w:sz="8" w:space="0"/>
                    <w:bottom w:val="single" w:color="auto" w:sz="4" w:space="0"/>
                    <w:right w:val="single" w:color="auto" w:sz="6" w:space="0"/>
                  </w:tcBorders>
                  <w:noWrap w:val="0"/>
                  <w:vAlign w:val="center"/>
                </w:tcPr>
                <w:p w14:paraId="2329C4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12</w:t>
                  </w:r>
                  <w:r>
                    <w:rPr>
                      <w:rFonts w:hint="eastAsia" w:ascii="微软雅黑" w:hAnsi="微软雅黑" w:eastAsia="微软雅黑" w:cs="微软雅黑"/>
                      <w:sz w:val="21"/>
                      <w:szCs w:val="21"/>
                    </w:rPr>
                    <w:t>：00</w:t>
                  </w:r>
                </w:p>
              </w:tc>
              <w:tc>
                <w:tcPr>
                  <w:tcW w:w="10093" w:type="dxa"/>
                  <w:tcBorders>
                    <w:top w:val="single" w:color="auto" w:sz="4" w:space="0"/>
                    <w:left w:val="nil"/>
                    <w:bottom w:val="single" w:color="auto" w:sz="4" w:space="0"/>
                    <w:right w:val="single" w:color="auto" w:sz="8" w:space="0"/>
                  </w:tcBorders>
                  <w:noWrap w:val="0"/>
                  <w:vAlign w:val="center"/>
                </w:tcPr>
                <w:p w14:paraId="3C8A07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行程结束，集散中心安排统一送站服务</w:t>
                  </w:r>
                </w:p>
                <w:p w14:paraId="23211F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b w:val="0"/>
                      <w:bCs w:val="0"/>
                      <w:color w:val="000000" w:themeColor="text1"/>
                      <w:sz w:val="21"/>
                      <w:szCs w:val="21"/>
                      <w14:textFill>
                        <w14:solidFill>
                          <w14:schemeClr w14:val="tx1"/>
                        </w14:solidFill>
                      </w14:textFill>
                    </w:rPr>
                    <w:t>【温馨提示】：</w:t>
                  </w:r>
                  <w:r>
                    <w:rPr>
                      <w:rFonts w:hint="eastAsia" w:ascii="微软雅黑" w:hAnsi="微软雅黑" w:eastAsia="微软雅黑" w:cs="微软雅黑"/>
                      <w:sz w:val="21"/>
                      <w:szCs w:val="21"/>
                      <w:lang w:val="en-US" w:eastAsia="zh-CN"/>
                    </w:rPr>
                    <w:t>集散中心送站服务时间为11：00；15：00，</w:t>
                  </w:r>
                  <w:r>
                    <w:rPr>
                      <w:rFonts w:hint="eastAsia" w:ascii="微软雅黑" w:hAnsi="微软雅黑" w:eastAsia="微软雅黑" w:cs="微软雅黑"/>
                      <w:sz w:val="21"/>
                      <w:szCs w:val="21"/>
                    </w:rPr>
                    <w:t>如您的航班或车次较晚，您可以选择自由活动后自行前往机场或者火车站，</w:t>
                  </w:r>
                  <w:r>
                    <w:rPr>
                      <w:rFonts w:hint="eastAsia" w:ascii="微软雅黑" w:hAnsi="微软雅黑" w:eastAsia="微软雅黑" w:cs="微软雅黑"/>
                      <w:kern w:val="0"/>
                      <w:sz w:val="21"/>
                      <w:szCs w:val="21"/>
                    </w:rPr>
                    <w:t>行李寄存时间为：</w:t>
                  </w:r>
                  <w:r>
                    <w:rPr>
                      <w:rFonts w:hint="eastAsia" w:ascii="微软雅黑" w:hAnsi="微软雅黑" w:eastAsia="微软雅黑" w:cs="微软雅黑"/>
                      <w:sz w:val="21"/>
                      <w:szCs w:val="21"/>
                    </w:rPr>
                    <w:t>早10：00—晚19：00</w:t>
                  </w:r>
                  <w:r>
                    <w:rPr>
                      <w:rFonts w:hint="eastAsia" w:ascii="微软雅黑" w:hAnsi="微软雅黑" w:eastAsia="微软雅黑" w:cs="微软雅黑"/>
                      <w:kern w:val="0"/>
                      <w:sz w:val="21"/>
                      <w:szCs w:val="21"/>
                      <w:lang w:eastAsia="zh-CN"/>
                    </w:rPr>
                    <w:t>。</w:t>
                  </w:r>
                </w:p>
              </w:tc>
            </w:tr>
            <w:tr w14:paraId="0AB98C5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968" w:type="dxa"/>
                  <w:gridSpan w:val="2"/>
                  <w:tcBorders>
                    <w:top w:val="single" w:color="auto" w:sz="4" w:space="0"/>
                    <w:left w:val="single" w:color="auto" w:sz="8" w:space="0"/>
                    <w:bottom w:val="single" w:color="auto" w:sz="8" w:space="0"/>
                    <w:right w:val="single" w:color="auto" w:sz="8" w:space="0"/>
                  </w:tcBorders>
                  <w:noWrap w:val="0"/>
                  <w:vAlign w:val="center"/>
                </w:tcPr>
                <w:p w14:paraId="7DF625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rPr>
                      <w:rFonts w:hint="eastAsia" w:ascii="微软雅黑" w:hAnsi="微软雅黑" w:eastAsia="微软雅黑" w:cs="微软雅黑"/>
                      <w:b w:val="0"/>
                      <w:bCs w:val="0"/>
                      <w:color w:val="000000" w:themeColor="text1"/>
                      <w:sz w:val="21"/>
                      <w:szCs w:val="21"/>
                      <w14:textFill>
                        <w14:solidFill>
                          <w14:schemeClr w14:val="tx1"/>
                        </w14:solidFill>
                      </w14:textFill>
                    </w:rPr>
                  </w:pPr>
                  <w:r>
                    <w:rPr>
                      <w:rFonts w:hint="eastAsia" w:ascii="微软雅黑" w:hAnsi="微软雅黑" w:eastAsia="微软雅黑" w:cs="微软雅黑"/>
                      <w:b/>
                      <w:bCs/>
                      <w:color w:val="FF0000"/>
                      <w:sz w:val="24"/>
                      <w:szCs w:val="24"/>
                    </w:rPr>
                    <w:t>特别说明：</w:t>
                  </w:r>
                  <w:r>
                    <w:rPr>
                      <w:rFonts w:hint="eastAsia" w:ascii="微软雅黑" w:hAnsi="微软雅黑" w:eastAsia="微软雅黑" w:cs="微软雅黑"/>
                      <w:color w:val="FF0000"/>
                      <w:sz w:val="24"/>
                      <w:szCs w:val="24"/>
                    </w:rPr>
                    <w:t>行程中遇天气原因，航班取消，道路塌方等自然灾害人力不可抗拒因素，所产生的费用及损失由客人自理</w:t>
                  </w:r>
                  <w:r>
                    <w:rPr>
                      <w:rFonts w:hint="eastAsia" w:ascii="微软雅黑" w:hAnsi="微软雅黑" w:eastAsia="微软雅黑" w:cs="微软雅黑"/>
                      <w:color w:val="FF0000"/>
                      <w:sz w:val="24"/>
                      <w:szCs w:val="24"/>
                      <w:lang w:eastAsia="zh-CN"/>
                    </w:rPr>
                    <w:t>；</w:t>
                  </w:r>
                  <w:r>
                    <w:rPr>
                      <w:rFonts w:hint="eastAsia" w:ascii="微软雅黑" w:hAnsi="微软雅黑" w:eastAsia="微软雅黑" w:cs="微软雅黑"/>
                      <w:color w:val="FF0000"/>
                      <w:sz w:val="24"/>
                      <w:szCs w:val="24"/>
                    </w:rPr>
                    <w:t>导游可根据当地具体情况调整景点游览顺序，但绝不减少景点，请知晓</w:t>
                  </w:r>
                  <w:r>
                    <w:rPr>
                      <w:rFonts w:hint="eastAsia" w:ascii="微软雅黑" w:hAnsi="微软雅黑" w:eastAsia="微软雅黑" w:cs="微软雅黑"/>
                      <w:color w:val="FF0000"/>
                      <w:sz w:val="24"/>
                      <w:szCs w:val="24"/>
                      <w:lang w:eastAsia="zh-CN"/>
                    </w:rPr>
                    <w:t>！</w:t>
                  </w:r>
                </w:p>
              </w:tc>
            </w:tr>
          </w:tbl>
          <w:p w14:paraId="6220563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default" w:ascii="微软雅黑" w:hAnsi="微软雅黑" w:eastAsia="微软雅黑" w:cs="微软雅黑"/>
                <w:b w:val="0"/>
                <w:bCs w:val="0"/>
                <w:color w:val="000000" w:themeColor="text1"/>
                <w:sz w:val="24"/>
                <w:szCs w:val="24"/>
                <w:highlight w:val="yellow"/>
                <w:lang w:val="en-US" w:eastAsia="zh-CN"/>
                <w14:textFill>
                  <w14:solidFill>
                    <w14:schemeClr w14:val="tx1"/>
                  </w14:solidFill>
                </w14:textFill>
              </w:rPr>
            </w:pPr>
          </w:p>
        </w:tc>
      </w:tr>
      <w:tr w14:paraId="2A0FA6C4">
        <w:tblPrEx>
          <w:tblBorders>
            <w:top w:val="thinThickSmallGap" w:color="974706" w:themeColor="accent6" w:themeShade="7F" w:sz="12" w:space="0"/>
            <w:left w:val="thinThickSmallGap" w:color="974706" w:themeColor="accent6" w:themeShade="7F" w:sz="12" w:space="0"/>
            <w:bottom w:val="thinThickSmallGap" w:color="974706" w:themeColor="accent6" w:themeShade="7F" w:sz="12" w:space="0"/>
            <w:right w:val="thinThickSmallGap" w:color="974706" w:themeColor="accent6" w:themeShade="7F" w:sz="12"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493" w:hRule="atLeast"/>
        </w:trPr>
        <w:tc>
          <w:tcPr>
            <w:tcW w:w="11043" w:type="dxa"/>
            <w:gridSpan w:val="6"/>
            <w:tcBorders>
              <w:tl2br w:val="nil"/>
              <w:tr2bl w:val="nil"/>
            </w:tcBorders>
            <w:noWrap/>
            <w:vAlign w:val="top"/>
          </w:tcPr>
          <w:p w14:paraId="4760B7D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default" w:ascii="微软雅黑" w:hAnsi="微软雅黑" w:eastAsia="微软雅黑" w:cs="微软雅黑"/>
                <w:b w:val="0"/>
                <w:bCs w:val="0"/>
                <w:color w:val="000000" w:themeColor="text1"/>
                <w:sz w:val="24"/>
                <w:szCs w:val="24"/>
                <w:highlight w:val="yellow"/>
                <w:lang w:val="en-US" w:eastAsia="zh-CN"/>
                <w14:textFill>
                  <w14:solidFill>
                    <w14:schemeClr w14:val="tx1"/>
                  </w14:solidFill>
                </w14:textFill>
              </w:rPr>
            </w:pPr>
          </w:p>
        </w:tc>
      </w:tr>
    </w:tbl>
    <w:tbl>
      <w:tblPr>
        <w:tblStyle w:val="10"/>
        <w:tblpPr w:leftFromText="180" w:rightFromText="180" w:vertAnchor="text" w:horzAnchor="page" w:tblpX="587" w:tblpY="596"/>
        <w:tblOverlap w:val="never"/>
        <w:tblW w:w="10851" w:type="dxa"/>
        <w:tblInd w:w="0" w:type="dxa"/>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Layout w:type="fixed"/>
        <w:tblCellMar>
          <w:top w:w="0" w:type="dxa"/>
          <w:left w:w="108" w:type="dxa"/>
          <w:bottom w:w="0" w:type="dxa"/>
          <w:right w:w="108" w:type="dxa"/>
        </w:tblCellMar>
      </w:tblPr>
      <w:tblGrid>
        <w:gridCol w:w="650"/>
        <w:gridCol w:w="10201"/>
      </w:tblGrid>
      <w:tr w14:paraId="015818D9">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10851" w:type="dxa"/>
            <w:gridSpan w:val="2"/>
            <w:tcBorders>
              <w:tl2br w:val="nil"/>
              <w:tr2bl w:val="nil"/>
            </w:tcBorders>
            <w:shd w:val="clear" w:color="auto" w:fill="974706" w:themeFill="accent6" w:themeFillShade="7F"/>
            <w:noWrap w:val="0"/>
            <w:vAlign w:val="top"/>
          </w:tcPr>
          <w:p w14:paraId="47B2F45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151" w:rightChars="-72"/>
              <w:jc w:val="center"/>
              <w:textAlignment w:val="auto"/>
              <w:rPr>
                <w:rFonts w:hint="eastAsia" w:ascii="微软雅黑" w:hAnsi="微软雅黑" w:eastAsia="微软雅黑" w:cs="微软雅黑"/>
                <w:b/>
                <w:color w:val="auto"/>
                <w:kern w:val="0"/>
                <w:sz w:val="28"/>
                <w:szCs w:val="28"/>
                <w:highlight w:val="none"/>
                <w:vertAlign w:val="baseline"/>
                <w:lang w:eastAsia="zh-CN"/>
              </w:rPr>
            </w:pPr>
            <w:r>
              <w:rPr>
                <w:rFonts w:hint="eastAsia" w:ascii="微软雅黑" w:hAnsi="微软雅黑" w:eastAsia="微软雅黑" w:cs="微软雅黑"/>
                <w:b/>
                <w:color w:val="FFFFFF"/>
                <w:kern w:val="0"/>
                <w:sz w:val="28"/>
                <w:szCs w:val="28"/>
                <w:highlight w:val="none"/>
                <w:vertAlign w:val="baseline"/>
                <w:lang w:eastAsia="zh-CN"/>
              </w:rPr>
              <w:t>接待标准</w:t>
            </w:r>
          </w:p>
        </w:tc>
      </w:tr>
      <w:tr w14:paraId="764FB303">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3001" w:hRule="atLeast"/>
        </w:trPr>
        <w:tc>
          <w:tcPr>
            <w:tcW w:w="650" w:type="dxa"/>
            <w:tcBorders>
              <w:tl2br w:val="nil"/>
              <w:tr2bl w:val="nil"/>
            </w:tcBorders>
            <w:noWrap w:val="0"/>
            <w:vAlign w:val="center"/>
          </w:tcPr>
          <w:p w14:paraId="62F099B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费</w:t>
            </w:r>
          </w:p>
          <w:p w14:paraId="1123058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用</w:t>
            </w:r>
          </w:p>
          <w:p w14:paraId="0B6E7DF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包</w:t>
            </w:r>
          </w:p>
          <w:p w14:paraId="2ADB865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28"/>
                <w:szCs w:val="28"/>
                <w:vertAlign w:val="baseline"/>
                <w:lang w:eastAsia="zh-CN"/>
              </w:rPr>
            </w:pPr>
            <w:r>
              <w:rPr>
                <w:rFonts w:hint="eastAsia" w:ascii="微软雅黑" w:hAnsi="微软雅黑" w:eastAsia="微软雅黑" w:cs="微软雅黑"/>
                <w:b/>
                <w:color w:val="auto"/>
                <w:kern w:val="0"/>
                <w:sz w:val="32"/>
                <w:szCs w:val="32"/>
                <w:vertAlign w:val="baseline"/>
                <w:lang w:eastAsia="zh-CN"/>
              </w:rPr>
              <w:t>含</w:t>
            </w:r>
          </w:p>
        </w:tc>
        <w:tc>
          <w:tcPr>
            <w:tcW w:w="10201" w:type="dxa"/>
            <w:tcBorders>
              <w:tl2br w:val="nil"/>
              <w:tr2bl w:val="nil"/>
            </w:tcBorders>
            <w:noWrap w:val="0"/>
            <w:vAlign w:val="center"/>
          </w:tcPr>
          <w:p w14:paraId="10CB2D9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48" w:rightChars="23"/>
              <w:jc w:val="both"/>
              <w:textAlignment w:val="auto"/>
              <w:rPr>
                <w:rFonts w:hint="eastAsia" w:ascii="微软雅黑" w:hAnsi="微软雅黑" w:eastAsia="微软雅黑" w:cs="微软雅黑"/>
                <w:b/>
                <w:bCs/>
                <w:sz w:val="21"/>
                <w:szCs w:val="21"/>
                <w:lang w:val="en-GB"/>
              </w:rPr>
            </w:pPr>
            <w:r>
              <w:rPr>
                <w:rFonts w:hint="eastAsia" w:ascii="微软雅黑" w:hAnsi="微软雅黑" w:eastAsia="微软雅黑" w:cs="微软雅黑"/>
                <w:b/>
                <w:bCs/>
                <w:sz w:val="21"/>
                <w:szCs w:val="21"/>
                <w:lang w:val="en-GB"/>
              </w:rPr>
              <w:t>交通</w:t>
            </w:r>
            <w:r>
              <w:rPr>
                <w:rFonts w:hint="eastAsia" w:ascii="微软雅黑" w:hAnsi="微软雅黑" w:eastAsia="微软雅黑" w:cs="微软雅黑"/>
                <w:b/>
                <w:bCs/>
                <w:sz w:val="21"/>
                <w:szCs w:val="21"/>
                <w:lang w:val="en-GB" w:eastAsia="zh-CN"/>
              </w:rPr>
              <w:t>：</w:t>
            </w:r>
            <w:r>
              <w:rPr>
                <w:rFonts w:hint="eastAsia" w:ascii="微软雅黑" w:hAnsi="微软雅黑" w:eastAsia="微软雅黑" w:cs="微软雅黑"/>
                <w:b w:val="0"/>
                <w:bCs/>
                <w:color w:val="auto"/>
                <w:kern w:val="0"/>
                <w:sz w:val="21"/>
                <w:szCs w:val="21"/>
                <w:vertAlign w:val="baseline"/>
                <w:lang w:eastAsia="zh-CN"/>
              </w:rPr>
              <w:t>①</w:t>
            </w:r>
            <w:r>
              <w:rPr>
                <w:rFonts w:hint="eastAsia" w:ascii="微软雅黑" w:hAnsi="微软雅黑" w:eastAsia="微软雅黑" w:cs="微软雅黑"/>
                <w:b w:val="0"/>
                <w:bCs/>
                <w:color w:val="auto"/>
                <w:kern w:val="0"/>
                <w:sz w:val="21"/>
                <w:szCs w:val="21"/>
                <w:vertAlign w:val="baseline"/>
                <w:lang w:val="en-US" w:eastAsia="zh-CN"/>
              </w:rPr>
              <w:t xml:space="preserve"> </w:t>
            </w:r>
            <w:r>
              <w:rPr>
                <w:rFonts w:hint="eastAsia" w:ascii="微软雅黑" w:hAnsi="微软雅黑" w:eastAsia="微软雅黑" w:cs="微软雅黑"/>
                <w:b w:val="0"/>
                <w:bCs/>
                <w:color w:val="auto"/>
                <w:kern w:val="0"/>
                <w:sz w:val="21"/>
                <w:szCs w:val="21"/>
                <w:vertAlign w:val="baseline"/>
                <w:lang w:eastAsia="zh-CN"/>
              </w:rPr>
              <w:t>四川各地</w:t>
            </w:r>
            <w:r>
              <w:rPr>
                <w:rFonts w:hint="eastAsia" w:ascii="微软雅黑" w:hAnsi="微软雅黑" w:eastAsia="微软雅黑" w:cs="微软雅黑"/>
                <w:b w:val="0"/>
                <w:bCs/>
                <w:color w:val="auto"/>
                <w:kern w:val="0"/>
                <w:sz w:val="21"/>
                <w:szCs w:val="21"/>
                <w:vertAlign w:val="baseline"/>
                <w:lang w:val="en-US" w:eastAsia="zh-CN"/>
              </w:rPr>
              <w:t>-目的地往返机票经济舱，② 当地旅游车（车型不定，确保一人一正座）</w:t>
            </w:r>
          </w:p>
          <w:p w14:paraId="65C1892A">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b/>
                <w:bCs/>
                <w:color w:val="000000" w:themeColor="text1"/>
                <w:sz w:val="21"/>
                <w:szCs w:val="21"/>
                <w:lang w:val="en-US" w:eastAsia="zh-CN"/>
                <w14:textFill>
                  <w14:solidFill>
                    <w14:schemeClr w14:val="tx1"/>
                  </w14:solidFill>
                </w14:textFill>
              </w:rPr>
            </w:pP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温馨提示：如当团人数为1-6人</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将安排司机兼导游</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非2+1的车型</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p>
          <w:p w14:paraId="0F8A1365">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firstLine="1051" w:firstLineChars="500"/>
              <w:jc w:val="both"/>
              <w:textAlignment w:val="auto"/>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6人以上为2+1车型</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接送站不是2+1车型</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p>
          <w:p w14:paraId="24F4506E">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门票：</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包含行程中景点首道大门票，不包含自费项目或景区小交通等其他项目；</w:t>
            </w:r>
          </w:p>
          <w:p w14:paraId="47FA4C38">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住宿：</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包含4晚5钻酒店，不包含单房差费用，如出现单人或单男单女请在报名时补交单房差；</w:t>
            </w:r>
          </w:p>
          <w:p w14:paraId="6FBA0AD2">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用餐：</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包含4早8正餐，酒店每间房包含2份早餐，正餐餐标50元，正餐儿童半价，跟团游用餐不用不退；</w:t>
            </w:r>
          </w:p>
          <w:p w14:paraId="41E36FF3">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630" w:right="0" w:hanging="630" w:hangingChars="300"/>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交通：</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包含当地空调旅游巴士，按照人数安排车辆，座位随机分配，不分先后，自由活动期间不包含用车服务，</w:t>
            </w:r>
          </w:p>
          <w:p w14:paraId="35F1AFA6">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导游：</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包含专业地陪导游，提供中文讲解服务，接驳或自由活动期间不含导游服务；</w:t>
            </w:r>
          </w:p>
          <w:p w14:paraId="589E8BCA">
            <w:pPr>
              <w:keepNext w:val="0"/>
              <w:keepLines w:val="0"/>
              <w:pageBreakBefore w:val="0"/>
              <w:widowControl w:val="0"/>
              <w:suppressLineNumbers w:val="0"/>
              <w:kinsoku/>
              <w:wordWrap/>
              <w:overflowPunct/>
              <w:topLinePunct w:val="0"/>
              <w:bidi w:val="0"/>
              <w:adjustRightInd/>
              <w:snapToGrid/>
              <w:spacing w:before="0" w:beforeAutospacing="0" w:after="0" w:afterAutospacing="0" w:line="400" w:lineRule="exact"/>
              <w:ind w:left="0" w:right="0"/>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儿童：</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本产品儿童价格仅包含车位费，导游服务费，半价正餐费用，其他均需自理；</w:t>
            </w:r>
          </w:p>
          <w:p w14:paraId="1AFC897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48" w:rightChars="23"/>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特殊：</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以上包含除外的其他费用均不包含，如酒店的洗衣、饮品等个人消费以及包含的餐食除外的其他餐食</w:t>
            </w:r>
          </w:p>
        </w:tc>
      </w:tr>
      <w:tr w14:paraId="3DD235DC">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650" w:type="dxa"/>
            <w:tcBorders>
              <w:tl2br w:val="nil"/>
              <w:tr2bl w:val="nil"/>
            </w:tcBorders>
            <w:noWrap w:val="0"/>
            <w:vAlign w:val="center"/>
          </w:tcPr>
          <w:p w14:paraId="1806E5A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费</w:t>
            </w:r>
          </w:p>
          <w:p w14:paraId="115D639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用</w:t>
            </w:r>
          </w:p>
          <w:p w14:paraId="40572C8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不</w:t>
            </w:r>
          </w:p>
          <w:p w14:paraId="181B4CF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28"/>
                <w:szCs w:val="28"/>
                <w:vertAlign w:val="baseline"/>
                <w:lang w:eastAsia="zh-CN"/>
              </w:rPr>
            </w:pPr>
            <w:r>
              <w:rPr>
                <w:rFonts w:hint="eastAsia" w:ascii="微软雅黑" w:hAnsi="微软雅黑" w:eastAsia="微软雅黑" w:cs="微软雅黑"/>
                <w:b/>
                <w:color w:val="auto"/>
                <w:kern w:val="0"/>
                <w:sz w:val="32"/>
                <w:szCs w:val="32"/>
                <w:vertAlign w:val="baseline"/>
                <w:lang w:eastAsia="zh-CN"/>
              </w:rPr>
              <w:t>含</w:t>
            </w:r>
          </w:p>
        </w:tc>
        <w:tc>
          <w:tcPr>
            <w:tcW w:w="10201" w:type="dxa"/>
            <w:tcBorders>
              <w:tl2br w:val="nil"/>
              <w:tr2bl w:val="nil"/>
            </w:tcBorders>
            <w:noWrap w:val="0"/>
            <w:vAlign w:val="top"/>
          </w:tcPr>
          <w:p w14:paraId="34AFD899">
            <w:pPr>
              <w:keepNext w:val="0"/>
              <w:keepLines w:val="0"/>
              <w:pageBreakBefore w:val="0"/>
              <w:numPr>
                <w:ilvl w:val="0"/>
                <w:numId w:val="2"/>
              </w:numPr>
              <w:suppressLineNumbers w:val="0"/>
              <w:kinsoku/>
              <w:wordWrap/>
              <w:overflowPunct/>
              <w:topLinePunct w:val="0"/>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rPr>
              <w:t>行程中包含的餐以外的餐食，需要自理；</w:t>
            </w:r>
            <w:r>
              <w:rPr>
                <w:rFonts w:hint="eastAsia" w:ascii="微软雅黑" w:hAnsi="微软雅黑" w:eastAsia="微软雅黑" w:cs="微软雅黑"/>
                <w:lang w:val="en-US" w:eastAsia="zh-CN"/>
              </w:rPr>
              <w:t xml:space="preserve">   </w:t>
            </w:r>
          </w:p>
          <w:p w14:paraId="2B692871">
            <w:pPr>
              <w:keepNext w:val="0"/>
              <w:keepLines w:val="0"/>
              <w:pageBreakBefore w:val="0"/>
              <w:numPr>
                <w:ilvl w:val="0"/>
                <w:numId w:val="2"/>
              </w:numPr>
              <w:suppressLineNumbers w:val="0"/>
              <w:kinsoku/>
              <w:wordWrap/>
              <w:overflowPunct/>
              <w:topLinePunct w:val="0"/>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rPr>
            </w:pPr>
            <w:r>
              <w:rPr>
                <w:rFonts w:hint="eastAsia" w:ascii="微软雅黑" w:hAnsi="微软雅黑" w:eastAsia="微软雅黑" w:cs="微软雅黑"/>
              </w:rPr>
              <w:t>个人消费（如酒店内洗衣、电话及未提到的其他服务）；</w:t>
            </w:r>
          </w:p>
          <w:p w14:paraId="7AC37792">
            <w:pPr>
              <w:keepNext w:val="0"/>
              <w:keepLines w:val="0"/>
              <w:pageBreakBefore w:val="0"/>
              <w:numPr>
                <w:ilvl w:val="0"/>
                <w:numId w:val="2"/>
              </w:numPr>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both"/>
              <w:textAlignment w:val="auto"/>
              <w:rPr>
                <w:rFonts w:hint="eastAsia" w:ascii="微软雅黑" w:hAnsi="微软雅黑" w:eastAsia="微软雅黑" w:cs="微软雅黑"/>
              </w:rPr>
            </w:pPr>
            <w:r>
              <w:rPr>
                <w:rFonts w:hint="eastAsia" w:ascii="微软雅黑" w:hAnsi="微软雅黑" w:eastAsia="微软雅黑" w:cs="微软雅黑"/>
              </w:rPr>
              <w:t>单间差或加床费用；</w:t>
            </w:r>
          </w:p>
          <w:p w14:paraId="384CAE3E">
            <w:pPr>
              <w:keepNext w:val="0"/>
              <w:keepLines w:val="0"/>
              <w:pageBreakBefore w:val="0"/>
              <w:numPr>
                <w:ilvl w:val="0"/>
                <w:numId w:val="2"/>
              </w:numPr>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both"/>
              <w:textAlignment w:val="auto"/>
              <w:rPr>
                <w:rFonts w:hint="eastAsia" w:ascii="微软雅黑" w:hAnsi="微软雅黑" w:eastAsia="微软雅黑" w:cs="微软雅黑"/>
                <w:lang w:eastAsia="zh-CN"/>
              </w:rPr>
            </w:pPr>
            <w:r>
              <w:rPr>
                <w:rFonts w:hint="eastAsia" w:ascii="微软雅黑" w:hAnsi="微软雅黑" w:eastAsia="微软雅黑" w:cs="微软雅黑"/>
              </w:rPr>
              <w:t>行程不包含的所有项目；</w:t>
            </w:r>
          </w:p>
          <w:p w14:paraId="336FEDD1">
            <w:pPr>
              <w:keepNext w:val="0"/>
              <w:keepLines w:val="0"/>
              <w:pageBreakBefore w:val="0"/>
              <w:numPr>
                <w:ilvl w:val="0"/>
                <w:numId w:val="2"/>
              </w:numPr>
              <w:suppressLineNumbers w:val="0"/>
              <w:kinsoku/>
              <w:wordWrap/>
              <w:overflowPunct/>
              <w:topLinePunct w:val="0"/>
              <w:bidi w:val="0"/>
              <w:adjustRightInd w:val="0"/>
              <w:snapToGrid w:val="0"/>
              <w:spacing w:before="0" w:beforeAutospacing="0" w:after="0" w:afterAutospacing="0" w:line="240" w:lineRule="auto"/>
              <w:ind w:left="0" w:leftChars="0" w:right="0" w:firstLine="0" w:firstLineChars="0"/>
              <w:jc w:val="both"/>
              <w:textAlignment w:val="auto"/>
              <w:rPr>
                <w:rFonts w:hint="eastAsia" w:ascii="微软雅黑" w:hAnsi="微软雅黑" w:eastAsia="微软雅黑" w:cs="微软雅黑"/>
                <w:lang w:eastAsia="zh-CN"/>
              </w:rPr>
            </w:pPr>
            <w:r>
              <w:rPr>
                <w:rFonts w:hint="eastAsia" w:ascii="微软雅黑" w:hAnsi="微软雅黑" w:eastAsia="微软雅黑" w:cs="微软雅黑"/>
              </w:rPr>
              <w:t>出发地</w:t>
            </w:r>
            <w:r>
              <w:rPr>
                <w:rFonts w:hint="eastAsia" w:ascii="微软雅黑" w:hAnsi="微软雅黑" w:eastAsia="微软雅黑" w:cs="微软雅黑"/>
                <w:lang w:eastAsia="zh-CN"/>
              </w:rPr>
              <w:t>到四川各地</w:t>
            </w:r>
            <w:r>
              <w:rPr>
                <w:rFonts w:hint="eastAsia" w:ascii="微软雅黑" w:hAnsi="微软雅黑" w:eastAsia="微软雅黑" w:cs="微软雅黑"/>
              </w:rPr>
              <w:t xml:space="preserve">机场接送 </w:t>
            </w:r>
            <w:r>
              <w:rPr>
                <w:rFonts w:hint="eastAsia" w:ascii="微软雅黑" w:hAnsi="微软雅黑" w:eastAsia="微软雅黑" w:cs="微软雅黑"/>
                <w:lang w:eastAsia="zh-CN"/>
              </w:rPr>
              <w:t>；</w:t>
            </w:r>
          </w:p>
          <w:p w14:paraId="7380529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17" w:leftChars="-8" w:right="78" w:rightChars="37" w:firstLine="16" w:firstLineChars="8"/>
              <w:jc w:val="both"/>
              <w:textAlignment w:val="auto"/>
              <w:rPr>
                <w:rFonts w:hint="eastAsia" w:ascii="微软雅黑" w:hAnsi="微软雅黑" w:eastAsia="微软雅黑" w:cs="微软雅黑"/>
              </w:rPr>
            </w:pPr>
            <w:r>
              <w:rPr>
                <w:rFonts w:hint="eastAsia" w:ascii="微软雅黑" w:hAnsi="微软雅黑" w:eastAsia="微软雅黑" w:cs="微软雅黑"/>
                <w:lang w:val="en-US" w:eastAsia="zh-CN"/>
              </w:rPr>
              <w:t>6.</w:t>
            </w:r>
            <w:r>
              <w:rPr>
                <w:rFonts w:hint="eastAsia" w:ascii="微软雅黑" w:hAnsi="微软雅黑" w:eastAsia="微软雅黑" w:cs="微软雅黑"/>
              </w:rPr>
              <w:t xml:space="preserve"> 因不可抗力因素产生的其他额外费用自费项目以及景区内的小景点或交通车等额外费用。</w:t>
            </w:r>
          </w:p>
          <w:p w14:paraId="4459099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17" w:leftChars="-8" w:right="78" w:rightChars="37" w:firstLine="16" w:firstLineChars="8"/>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7.酒店内洗衣、理发、电话、传真、收费电视、饮品、烟酒等个人消费需要自理。</w:t>
            </w:r>
          </w:p>
          <w:p w14:paraId="613A363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17" w:leftChars="-8" w:right="78" w:rightChars="37" w:firstLine="16" w:firstLineChars="8"/>
              <w:jc w:val="both"/>
              <w:textAlignment w:val="auto"/>
              <w:rPr>
                <w:rFonts w:hint="eastAsia" w:ascii="微软雅黑" w:hAnsi="微软雅黑" w:eastAsia="微软雅黑" w:cs="微软雅黑"/>
                <w:b/>
                <w:color w:val="auto"/>
                <w:kern w:val="0"/>
                <w:sz w:val="21"/>
                <w:szCs w:val="21"/>
                <w:vertAlign w:val="baseline"/>
              </w:rPr>
            </w:pPr>
            <w:r>
              <w:rPr>
                <w:rFonts w:hint="eastAsia" w:ascii="微软雅黑" w:hAnsi="微软雅黑" w:eastAsia="微软雅黑" w:cs="微软雅黑"/>
                <w:lang w:val="en-US" w:eastAsia="zh-CN"/>
              </w:rPr>
              <w:t>8.</w:t>
            </w:r>
            <w:r>
              <w:rPr>
                <w:rFonts w:hint="eastAsia" w:ascii="微软雅黑" w:hAnsi="微软雅黑" w:eastAsia="微软雅黑" w:cs="微软雅黑"/>
                <w:b/>
                <w:bCs w:val="0"/>
                <w:color w:val="FF0000"/>
                <w:sz w:val="21"/>
                <w:szCs w:val="21"/>
                <w:lang w:val="en-US" w:eastAsia="zh-CN"/>
              </w:rPr>
              <w:t>温馨提示：</w:t>
            </w:r>
            <w:r>
              <w:rPr>
                <w:rFonts w:hint="eastAsia" w:ascii="微软雅黑" w:hAnsi="微软雅黑" w:eastAsia="微软雅黑" w:cs="微软雅黑"/>
                <w:b w:val="0"/>
                <w:bCs/>
                <w:color w:val="FF0000"/>
                <w:sz w:val="21"/>
                <w:szCs w:val="21"/>
                <w:lang w:val="en-US" w:eastAsia="zh-CN"/>
              </w:rPr>
              <w:t>旅游出行是一项体育活动，是需要健康的体魄才能进行的。故请每一位客人参团前，评估自己的身体健康状态适合参加本次旅游活动后方可报名参团。因个人既往病史或身体残障，在旅游行程中引起的疾病进一步发作和伤亡，旅行社不承担任何责任，现有的保险公司责任险和意外险条款中，此种情况也列入保险公司的免赔范围。个人有精神类疾病和无行为控制能力的不能报名参团后果自负。</w:t>
            </w:r>
          </w:p>
        </w:tc>
      </w:tr>
      <w:tr w14:paraId="2211D8EA">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650" w:type="dxa"/>
            <w:tcBorders>
              <w:tl2br w:val="nil"/>
              <w:tr2bl w:val="nil"/>
            </w:tcBorders>
            <w:noWrap w:val="0"/>
            <w:vAlign w:val="center"/>
          </w:tcPr>
          <w:p w14:paraId="2258000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default" w:ascii="微软雅黑" w:hAnsi="微软雅黑" w:eastAsia="微软雅黑" w:cs="微软雅黑"/>
                <w:b/>
                <w:color w:val="auto"/>
                <w:kern w:val="0"/>
                <w:sz w:val="32"/>
                <w:szCs w:val="32"/>
                <w:vertAlign w:val="baseline"/>
                <w:lang w:val="en-US" w:eastAsia="zh-CN"/>
              </w:rPr>
            </w:pPr>
            <w:r>
              <w:rPr>
                <w:rFonts w:hint="eastAsia" w:ascii="微软雅黑" w:hAnsi="微软雅黑" w:eastAsia="微软雅黑" w:cs="微软雅黑"/>
                <w:b/>
                <w:color w:val="auto"/>
                <w:kern w:val="0"/>
                <w:sz w:val="32"/>
                <w:szCs w:val="32"/>
                <w:vertAlign w:val="baseline"/>
                <w:lang w:val="en-US" w:eastAsia="zh-CN"/>
              </w:rPr>
              <w:t>预订须知</w:t>
            </w:r>
          </w:p>
        </w:tc>
        <w:tc>
          <w:tcPr>
            <w:tcW w:w="10201" w:type="dxa"/>
            <w:tcBorders>
              <w:tl2br w:val="nil"/>
              <w:tr2bl w:val="nil"/>
            </w:tcBorders>
            <w:noWrap w:val="0"/>
            <w:vAlign w:val="top"/>
          </w:tcPr>
          <w:p w14:paraId="1BA10D25">
            <w:pPr>
              <w:pStyle w:val="8"/>
              <w:keepNext w:val="0"/>
              <w:keepLines w:val="0"/>
              <w:pageBreakBefore w:val="0"/>
              <w:kinsoku/>
              <w:wordWrap/>
              <w:overflowPunct/>
              <w:topLinePunct w:val="0"/>
              <w:bidi w:val="0"/>
              <w:adjustRightInd w:val="0"/>
              <w:snapToGrid w:val="0"/>
              <w:spacing w:line="240" w:lineRule="auto"/>
              <w:ind w:left="0" w:leftChars="0" w:right="0" w:rightChars="0" w:firstLine="0" w:firstLineChars="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1、出于安全考虑，18岁以下未成年人需要至少一名家长或成年旅客全程陪同。</w:t>
            </w:r>
          </w:p>
          <w:p w14:paraId="6B309E55">
            <w:pPr>
              <w:pStyle w:val="8"/>
              <w:keepNext w:val="0"/>
              <w:keepLines w:val="0"/>
              <w:pageBreakBefore w:val="0"/>
              <w:kinsoku/>
              <w:wordWrap/>
              <w:overflowPunct/>
              <w:topLinePunct w:val="0"/>
              <w:bidi w:val="0"/>
              <w:adjustRightInd w:val="0"/>
              <w:snapToGrid w:val="0"/>
              <w:spacing w:line="240" w:lineRule="auto"/>
              <w:ind w:left="420" w:leftChars="0" w:right="0" w:rightChars="0" w:hanging="420" w:hangingChars="200"/>
              <w:jc w:val="both"/>
              <w:textAlignment w:val="auto"/>
              <w:rPr>
                <w:rFonts w:hint="default"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2、此线路行程强度较大，预订出行人需确保身体健康适宜旅游，如出行人中有70周岁(含)以上老人、须至少</w:t>
            </w:r>
          </w:p>
          <w:p w14:paraId="5E9A6BB0">
            <w:pPr>
              <w:pStyle w:val="8"/>
              <w:keepNext w:val="0"/>
              <w:keepLines w:val="0"/>
              <w:pageBreakBefore w:val="0"/>
              <w:kinsoku/>
              <w:wordWrap/>
              <w:overflowPunct/>
              <w:topLinePunct w:val="0"/>
              <w:bidi w:val="0"/>
              <w:adjustRightInd w:val="0"/>
              <w:snapToGrid w:val="0"/>
              <w:spacing w:line="240" w:lineRule="auto"/>
              <w:ind w:left="420" w:leftChars="100" w:right="0" w:rightChars="0" w:hanging="210" w:hangingChars="10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有1位18周岁—69周岁亲友陪同方可参团，敬请谅解！</w:t>
            </w:r>
          </w:p>
          <w:p w14:paraId="75829A77">
            <w:pPr>
              <w:pStyle w:val="8"/>
              <w:keepNext w:val="0"/>
              <w:keepLines w:val="0"/>
              <w:pageBreakBefore w:val="0"/>
              <w:kinsoku/>
              <w:wordWrap/>
              <w:overflowPunct/>
              <w:topLinePunct w:val="0"/>
              <w:bidi w:val="0"/>
              <w:adjustRightInd w:val="0"/>
              <w:snapToGrid w:val="0"/>
              <w:spacing w:line="240" w:lineRule="auto"/>
              <w:ind w:left="0" w:leftChars="0" w:right="0" w:rightChars="0" w:firstLine="0" w:firstLineChars="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3、出于安全考虑，本产品不接受孕妇预订，敬请谅解。</w:t>
            </w:r>
          </w:p>
          <w:p w14:paraId="55987BBE">
            <w:pPr>
              <w:pStyle w:val="8"/>
              <w:keepNext w:val="0"/>
              <w:keepLines w:val="0"/>
              <w:pageBreakBefore w:val="0"/>
              <w:kinsoku/>
              <w:wordWrap/>
              <w:overflowPunct/>
              <w:topLinePunct w:val="0"/>
              <w:bidi w:val="0"/>
              <w:adjustRightInd w:val="0"/>
              <w:snapToGrid w:val="0"/>
              <w:spacing w:line="240" w:lineRule="auto"/>
              <w:ind w:left="0" w:leftChars="0" w:right="0" w:rightChars="0" w:firstLine="0" w:firstLineChars="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4、如产品确认单中的条款约定与旅游合同主协议（示范文本）不一致的，以产品确认单中的约定为准。</w:t>
            </w:r>
          </w:p>
          <w:p w14:paraId="6D64712F">
            <w:pPr>
              <w:pStyle w:val="8"/>
              <w:keepNext w:val="0"/>
              <w:keepLines w:val="0"/>
              <w:pageBreakBefore w:val="0"/>
              <w:kinsoku/>
              <w:wordWrap/>
              <w:overflowPunct/>
              <w:topLinePunct w:val="0"/>
              <w:bidi w:val="0"/>
              <w:adjustRightInd w:val="0"/>
              <w:snapToGrid w:val="0"/>
              <w:spacing w:line="240" w:lineRule="auto"/>
              <w:ind w:left="420" w:leftChars="0" w:right="0" w:rightChars="0" w:hanging="420" w:hangingChars="20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5、请务必提供准确、完整的信息（姓名、性别、证件号码、国籍、联系方式、是否成人或儿童等），以免产生预订错误影响出行。如因客人提供错误个人信息而造成损失，应由客人自行承担因此产生的全部损失。</w:t>
            </w:r>
          </w:p>
          <w:p w14:paraId="092F27FE">
            <w:pPr>
              <w:pStyle w:val="8"/>
              <w:keepNext w:val="0"/>
              <w:keepLines w:val="0"/>
              <w:pageBreakBefore w:val="0"/>
              <w:kinsoku/>
              <w:wordWrap/>
              <w:overflowPunct/>
              <w:topLinePunct w:val="0"/>
              <w:bidi w:val="0"/>
              <w:adjustRightInd w:val="0"/>
              <w:snapToGrid w:val="0"/>
              <w:spacing w:line="240" w:lineRule="auto"/>
              <w:ind w:left="0" w:leftChars="0" w:right="0" w:rightChars="0" w:firstLine="0" w:firstLineChars="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6、本产品最少成团人数1人，若因我司原因未发团，旅行社将按双方合同约定的违约条款予以赔付。</w:t>
            </w:r>
          </w:p>
          <w:p w14:paraId="5F81321B">
            <w:pPr>
              <w:pStyle w:val="8"/>
              <w:keepNext w:val="0"/>
              <w:keepLines w:val="0"/>
              <w:pageBreakBefore w:val="0"/>
              <w:kinsoku/>
              <w:wordWrap/>
              <w:overflowPunct/>
              <w:topLinePunct w:val="0"/>
              <w:bidi w:val="0"/>
              <w:adjustRightInd w:val="0"/>
              <w:snapToGrid w:val="0"/>
              <w:spacing w:line="240" w:lineRule="auto"/>
              <w:ind w:left="420" w:leftChars="0" w:right="0" w:rightChars="0" w:hanging="420" w:hangingChars="20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7、本线路为散客拼团，在承诺服务内容和标准不变的前提下，可能会与其他旅行社的客人合并用车，共同游玩。如您正常报名，则视为接受旅行社拼团后统一安排行程。</w:t>
            </w:r>
          </w:p>
          <w:p w14:paraId="748C3C13">
            <w:pPr>
              <w:pStyle w:val="8"/>
              <w:keepNext w:val="0"/>
              <w:keepLines w:val="0"/>
              <w:pageBreakBefore w:val="0"/>
              <w:kinsoku/>
              <w:wordWrap/>
              <w:overflowPunct/>
              <w:topLinePunct w:val="0"/>
              <w:bidi w:val="0"/>
              <w:adjustRightInd w:val="0"/>
              <w:snapToGrid w:val="0"/>
              <w:spacing w:line="240" w:lineRule="auto"/>
              <w:ind w:left="420" w:leftChars="0" w:right="0" w:rightChars="0" w:hanging="420" w:hangingChars="20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8、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w:t>
            </w:r>
          </w:p>
          <w:p w14:paraId="1265A763">
            <w:pPr>
              <w:pStyle w:val="8"/>
              <w:keepNext w:val="0"/>
              <w:keepLines w:val="0"/>
              <w:pageBreakBefore w:val="0"/>
              <w:kinsoku/>
              <w:wordWrap/>
              <w:overflowPunct/>
              <w:topLinePunct w:val="0"/>
              <w:bidi w:val="0"/>
              <w:adjustRightInd w:val="0"/>
              <w:snapToGrid w:val="0"/>
              <w:spacing w:line="240" w:lineRule="auto"/>
              <w:ind w:left="420" w:leftChars="0" w:right="0" w:rightChars="0" w:hanging="420" w:hangingChars="20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9、出游过程中，如遇不可抗力因素造成景点未能正常游玩，导游经与客人协商后可根据实际情况取消或更换该景点，或由导游在现场按旅游产品中的门票价退还费用，退费不以景区挂牌价为准，敬请谅解。</w:t>
            </w:r>
          </w:p>
          <w:p w14:paraId="6D9B0B55">
            <w:pPr>
              <w:pStyle w:val="8"/>
              <w:keepNext w:val="0"/>
              <w:keepLines w:val="0"/>
              <w:pageBreakBefore w:val="0"/>
              <w:kinsoku/>
              <w:wordWrap/>
              <w:overflowPunct/>
              <w:topLinePunct w:val="0"/>
              <w:bidi w:val="0"/>
              <w:adjustRightInd w:val="0"/>
              <w:snapToGrid w:val="0"/>
              <w:spacing w:line="240" w:lineRule="auto"/>
              <w:ind w:left="0" w:leftChars="0" w:right="0" w:rightChars="0" w:firstLine="0" w:firstLineChars="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10、如遇路况原因等突发情况需要变更各集合时间的，届时以导游或随车人员公布为准。</w:t>
            </w:r>
          </w:p>
          <w:p w14:paraId="776849E0">
            <w:pPr>
              <w:pStyle w:val="8"/>
              <w:keepNext w:val="0"/>
              <w:keepLines w:val="0"/>
              <w:pageBreakBefore w:val="0"/>
              <w:kinsoku/>
              <w:wordWrap/>
              <w:overflowPunct/>
              <w:topLinePunct w:val="0"/>
              <w:bidi w:val="0"/>
              <w:adjustRightInd w:val="0"/>
              <w:snapToGrid w:val="0"/>
              <w:spacing w:line="240" w:lineRule="auto"/>
              <w:ind w:left="0" w:leftChars="0" w:right="0" w:rightChars="0" w:firstLine="0" w:firstLineChars="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11、赠送项目，景区有权依自身承载能力以及天气等原因决定是否提供，客人亦可有权选择参加或者不参加。</w:t>
            </w:r>
          </w:p>
          <w:p w14:paraId="4F09F660">
            <w:pPr>
              <w:pStyle w:val="8"/>
              <w:keepNext w:val="0"/>
              <w:keepLines w:val="0"/>
              <w:pageBreakBefore w:val="0"/>
              <w:kinsoku/>
              <w:wordWrap/>
              <w:overflowPunct/>
              <w:topLinePunct w:val="0"/>
              <w:bidi w:val="0"/>
              <w:adjustRightInd w:val="0"/>
              <w:snapToGrid w:val="0"/>
              <w:spacing w:line="240" w:lineRule="auto"/>
              <w:ind w:left="420" w:leftChars="0" w:right="0" w:rightChars="0" w:hanging="420" w:hangingChars="200"/>
              <w:jc w:val="both"/>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12、团队行程中，非自由活动期间，未经领队/导游同意，旅游者不得擅自脱团、离团。经领队/导游同意后，您应签署离团责任书，并应确保该期间内人身及财产安全。未完成部分将被视为您自行放弃，已实际产生损失的行程，不退任何费用。</w:t>
            </w:r>
          </w:p>
        </w:tc>
      </w:tr>
      <w:tr w14:paraId="72DC5FCB">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650" w:type="dxa"/>
            <w:tcBorders>
              <w:tl2br w:val="nil"/>
              <w:tr2bl w:val="nil"/>
            </w:tcBorders>
            <w:noWrap w:val="0"/>
            <w:vAlign w:val="center"/>
          </w:tcPr>
          <w:p w14:paraId="240DC2D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p>
          <w:p w14:paraId="424EF1C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p>
          <w:p w14:paraId="7289008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p>
          <w:p w14:paraId="5AD664A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32"/>
                <w:szCs w:val="32"/>
                <w:vertAlign w:val="baseline"/>
                <w:lang w:eastAsia="zh-CN"/>
              </w:rPr>
            </w:pPr>
            <w:r>
              <w:rPr>
                <w:rFonts w:hint="eastAsia" w:ascii="微软雅黑" w:hAnsi="微软雅黑" w:eastAsia="微软雅黑" w:cs="微软雅黑"/>
                <w:b/>
                <w:color w:val="auto"/>
                <w:kern w:val="0"/>
                <w:sz w:val="32"/>
                <w:szCs w:val="32"/>
                <w:vertAlign w:val="baseline"/>
                <w:lang w:eastAsia="zh-CN"/>
              </w:rPr>
              <w:t>备</w:t>
            </w:r>
          </w:p>
          <w:p w14:paraId="634DEAA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25" w:rightChars="-12"/>
              <w:jc w:val="center"/>
              <w:textAlignment w:val="auto"/>
              <w:rPr>
                <w:rFonts w:hint="eastAsia" w:ascii="微软雅黑" w:hAnsi="微软雅黑" w:eastAsia="微软雅黑" w:cs="微软雅黑"/>
                <w:b/>
                <w:color w:val="auto"/>
                <w:kern w:val="0"/>
                <w:sz w:val="28"/>
                <w:szCs w:val="28"/>
                <w:vertAlign w:val="baseline"/>
              </w:rPr>
            </w:pPr>
            <w:r>
              <w:rPr>
                <w:rFonts w:hint="eastAsia" w:ascii="微软雅黑" w:hAnsi="微软雅黑" w:eastAsia="微软雅黑" w:cs="微软雅黑"/>
                <w:b/>
                <w:color w:val="auto"/>
                <w:kern w:val="0"/>
                <w:sz w:val="32"/>
                <w:szCs w:val="32"/>
                <w:vertAlign w:val="baseline"/>
                <w:lang w:eastAsia="zh-CN"/>
              </w:rPr>
              <w:t>注</w:t>
            </w:r>
          </w:p>
        </w:tc>
        <w:tc>
          <w:tcPr>
            <w:tcW w:w="10201" w:type="dxa"/>
            <w:tcBorders>
              <w:tl2br w:val="nil"/>
              <w:tr2bl w:val="nil"/>
            </w:tcBorders>
            <w:noWrap w:val="0"/>
            <w:vAlign w:val="top"/>
          </w:tcPr>
          <w:p w14:paraId="4274318E">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right="-9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请携带本人有效身份证件（儿童需携带户口本原件），如因个人原因造成无法办理入住手续自行承担。</w:t>
            </w:r>
          </w:p>
          <w:p w14:paraId="420D6504">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right="0"/>
              <w:jc w:val="both"/>
              <w:textAlignment w:val="auto"/>
              <w:rPr>
                <w:rFonts w:hint="eastAsia" w:ascii="微软雅黑" w:hAnsi="微软雅黑" w:eastAsia="微软雅黑" w:cs="微软雅黑"/>
                <w:color w:val="000000"/>
                <w:kern w:val="0"/>
                <w:sz w:val="21"/>
                <w:szCs w:val="21"/>
              </w:rPr>
            </w:pPr>
            <w:r>
              <w:rPr>
                <w:rFonts w:hint="eastAsia" w:ascii="微软雅黑" w:hAnsi="微软雅黑" w:eastAsia="微软雅黑" w:cs="微软雅黑"/>
                <w:b/>
                <w:color w:val="000000"/>
                <w:kern w:val="0"/>
                <w:sz w:val="21"/>
                <w:szCs w:val="21"/>
              </w:rPr>
              <w:t>行程内景点各类证件的优惠请提前出示证件并询问导游。</w:t>
            </w:r>
          </w:p>
          <w:p w14:paraId="6D34BBE1">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right="-9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以上行程安排仅供参考，因各种不确定因素影响，在不减少景点的情况下以具体实际情况前后调整为准，如遇人力不可抗拒因素或游客自身原因造成的行程延误或变更，旅行社不承担由此造成的损失和责任，超支费用由游客自理。</w:t>
            </w:r>
          </w:p>
          <w:p w14:paraId="53306CE5">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right="-9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rPr>
              <w:t>旅游期间，如因个人原因中途离团、项目未参加，一律不退。离团期间安全问题由客人自理，并在离团前签订离团证明，如有问题，我社将协助解决，但不承担责任。</w:t>
            </w:r>
          </w:p>
          <w:p w14:paraId="2432CB02">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right="-9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团队接待质量以您的意见单为准,请仔细填写，并留下联系方式，方便我们回访。如果您不填写意见单，旅行社将视您放弃此项权利并按照无投诉处理；同时旅行社不接受与质量访问单相违背的投诉。</w:t>
            </w:r>
          </w:p>
          <w:p w14:paraId="638F2287">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right="-9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火车团节假日期间游客返程只保证抵达目的地，不保证车次及等级，票款按实际算，多退少补。</w:t>
            </w:r>
          </w:p>
          <w:p w14:paraId="18E730AB">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left="350" w:leftChars="0" w:right="-90" w:rightChars="0" w:hanging="360" w:firstLineChars="0"/>
              <w:jc w:val="both"/>
              <w:textAlignment w:val="auto"/>
              <w:rPr>
                <w:rFonts w:hint="eastAsia" w:ascii="微软雅黑" w:hAnsi="微软雅黑" w:eastAsia="微软雅黑" w:cs="微软雅黑"/>
                <w:b/>
                <w:color w:val="auto"/>
                <w:kern w:val="0"/>
                <w:sz w:val="28"/>
                <w:szCs w:val="28"/>
                <w:vertAlign w:val="baseline"/>
                <w:lang w:val="en-US" w:eastAsia="zh-CN" w:bidi="ar-SA"/>
              </w:rPr>
            </w:pPr>
            <w:r>
              <w:rPr>
                <w:rFonts w:hint="eastAsia" w:ascii="微软雅黑" w:hAnsi="微软雅黑" w:eastAsia="微软雅黑" w:cs="微软雅黑"/>
                <w:b/>
                <w:sz w:val="21"/>
                <w:szCs w:val="21"/>
              </w:rPr>
              <w:t>请提醒客人参团前参加旅游意外险,建议60岁以上的老人请提供健康证明</w:t>
            </w:r>
            <w:r>
              <w:rPr>
                <w:rFonts w:hint="eastAsia" w:ascii="微软雅黑" w:hAnsi="微软雅黑" w:eastAsia="微软雅黑" w:cs="微软雅黑"/>
                <w:sz w:val="21"/>
                <w:szCs w:val="21"/>
              </w:rPr>
              <w:t>。游客在确定自己的身体健康状态适合参加本次旅游活动后方可报名参团，因个人既有病史和身体残障在旅游行程中引起的疾病进一步发作和伤亡，旅行社不承担任何责任，现有的保险公司责任险和意外险条款中，此种情况也列入保险公司的免赔范围。个人有精神疾病和无行为控制能力的不能报名参团。</w:t>
            </w:r>
          </w:p>
        </w:tc>
      </w:tr>
      <w:tr w14:paraId="167EAE95">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10851" w:type="dxa"/>
            <w:gridSpan w:val="2"/>
            <w:tcBorders>
              <w:tl2br w:val="nil"/>
              <w:tr2bl w:val="nil"/>
            </w:tcBorders>
            <w:shd w:val="clear" w:color="auto" w:fill="974706" w:themeFill="accent6" w:themeFillShade="7F"/>
            <w:noWrap w:val="0"/>
            <w:vAlign w:val="top"/>
          </w:tcPr>
          <w:p w14:paraId="3B4BF8B2">
            <w:pPr>
              <w:keepNext w:val="0"/>
              <w:keepLines w:val="0"/>
              <w:suppressLineNumbers w:val="0"/>
              <w:spacing w:before="0" w:beforeAutospacing="0" w:after="0" w:afterAutospacing="0" w:line="360" w:lineRule="auto"/>
              <w:ind w:left="0" w:right="-151" w:rightChars="-72"/>
              <w:jc w:val="center"/>
              <w:rPr>
                <w:rFonts w:hint="eastAsia" w:ascii="微软雅黑" w:hAnsi="微软雅黑" w:eastAsia="微软雅黑" w:cs="微软雅黑"/>
                <w:b/>
                <w:kern w:val="2"/>
                <w:sz w:val="21"/>
                <w:szCs w:val="21"/>
                <w:lang w:val="en-US" w:eastAsia="zh-CN" w:bidi="ar-SA"/>
              </w:rPr>
            </w:pPr>
            <w:r>
              <w:rPr>
                <w:rFonts w:hint="eastAsia" w:ascii="微软雅黑" w:hAnsi="微软雅黑" w:eastAsia="微软雅黑" w:cs="微软雅黑"/>
                <w:b/>
                <w:color w:val="FFFFFF"/>
                <w:kern w:val="0"/>
                <w:sz w:val="36"/>
                <w:szCs w:val="36"/>
                <w:vertAlign w:val="baseline"/>
              </w:rPr>
              <w:t>产品合同补充协议</w:t>
            </w:r>
          </w:p>
        </w:tc>
      </w:tr>
      <w:tr w14:paraId="0FFDFAC3">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10851" w:type="dxa"/>
            <w:gridSpan w:val="2"/>
            <w:tcBorders>
              <w:tl2br w:val="nil"/>
              <w:tr2bl w:val="nil"/>
            </w:tcBorders>
            <w:noWrap w:val="0"/>
            <w:vAlign w:val="top"/>
          </w:tcPr>
          <w:p w14:paraId="506969A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国内旅游合同补充条款（自费（另付费））项目补充确认书</w:t>
            </w:r>
          </w:p>
          <w:p w14:paraId="774C4EC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在此次旅游活动中，旅游者有参加旅游自费项目的需求，并自愿委托旅行社帮助安排。经双方协商一致，双方同意在不影响其他旅游者行程安排的前提下，旅行社按照旅游者的旅游自费项目需求及委托意愿，帮助旅游者安排旅游自费项目活动（内容如下表），旅行者自愿参加并承诺到达目的地后遵守所签订的此补充协议参加旅游自费项目活动。</w:t>
            </w:r>
          </w:p>
          <w:p w14:paraId="6B7EC8F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2、以下自费项目内容及价格明细如下，请本着丰富行程的目的自行自主自愿选择，费用交由成都报名社或当地导游。</w:t>
            </w:r>
          </w:p>
          <w:tbl>
            <w:tblPr>
              <w:tblStyle w:val="9"/>
              <w:tblW w:w="0" w:type="auto"/>
              <w:jc w:val="center"/>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Layout w:type="fixed"/>
              <w:tblCellMar>
                <w:top w:w="0" w:type="dxa"/>
                <w:left w:w="108" w:type="dxa"/>
                <w:bottom w:w="0" w:type="dxa"/>
                <w:right w:w="108" w:type="dxa"/>
              </w:tblCellMar>
            </w:tblPr>
            <w:tblGrid>
              <w:gridCol w:w="4282"/>
              <w:gridCol w:w="1265"/>
              <w:gridCol w:w="2206"/>
              <w:gridCol w:w="2540"/>
            </w:tblGrid>
            <w:tr w14:paraId="38C52349">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259" w:hRule="atLeast"/>
                <w:jc w:val="center"/>
              </w:trPr>
              <w:tc>
                <w:tcPr>
                  <w:tcW w:w="4282" w:type="dxa"/>
                  <w:tcBorders>
                    <w:tl2br w:val="nil"/>
                    <w:tr2bl w:val="nil"/>
                  </w:tcBorders>
                  <w:noWrap w:val="0"/>
                  <w:vAlign w:val="center"/>
                </w:tcPr>
                <w:p w14:paraId="58A56AB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项  目</w:t>
                  </w:r>
                </w:p>
              </w:tc>
              <w:tc>
                <w:tcPr>
                  <w:tcW w:w="1265" w:type="dxa"/>
                  <w:tcBorders>
                    <w:tl2br w:val="nil"/>
                    <w:tr2bl w:val="nil"/>
                  </w:tcBorders>
                  <w:noWrap w:val="0"/>
                  <w:vAlign w:val="center"/>
                </w:tcPr>
                <w:p w14:paraId="23CF536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价 格</w:t>
                  </w:r>
                </w:p>
              </w:tc>
              <w:tc>
                <w:tcPr>
                  <w:tcW w:w="2206" w:type="dxa"/>
                  <w:tcBorders>
                    <w:tl2br w:val="nil"/>
                    <w:tr2bl w:val="nil"/>
                  </w:tcBorders>
                  <w:noWrap w:val="0"/>
                  <w:vAlign w:val="center"/>
                </w:tcPr>
                <w:p w14:paraId="5324A0F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时 间</w:t>
                  </w:r>
                </w:p>
              </w:tc>
              <w:tc>
                <w:tcPr>
                  <w:tcW w:w="2540" w:type="dxa"/>
                  <w:vMerge w:val="restart"/>
                  <w:tcBorders>
                    <w:tl2br w:val="nil"/>
                    <w:tr2bl w:val="nil"/>
                  </w:tcBorders>
                  <w:noWrap w:val="0"/>
                  <w:vAlign w:val="center"/>
                </w:tcPr>
                <w:p w14:paraId="790F676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费用已含车费、导服、门票，特殊免票证件以及70岁以上老人无优惠</w:t>
                  </w:r>
                </w:p>
              </w:tc>
            </w:tr>
            <w:tr w14:paraId="75CD84B1">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312" w:hRule="atLeast"/>
                <w:jc w:val="center"/>
              </w:trPr>
              <w:tc>
                <w:tcPr>
                  <w:tcW w:w="4282" w:type="dxa"/>
                  <w:tcBorders>
                    <w:tl2br w:val="nil"/>
                    <w:tr2bl w:val="nil"/>
                  </w:tcBorders>
                  <w:noWrap w:val="0"/>
                  <w:vAlign w:val="center"/>
                </w:tcPr>
                <w:p w14:paraId="0E91A59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杭州【宋城景区+宋城千古情演出】</w:t>
                  </w:r>
                </w:p>
              </w:tc>
              <w:tc>
                <w:tcPr>
                  <w:tcW w:w="1265" w:type="dxa"/>
                  <w:tcBorders>
                    <w:tl2br w:val="nil"/>
                    <w:tr2bl w:val="nil"/>
                  </w:tcBorders>
                  <w:noWrap w:val="0"/>
                  <w:vAlign w:val="center"/>
                </w:tcPr>
                <w:p w14:paraId="3096B19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320-350</w:t>
                  </w:r>
                </w:p>
              </w:tc>
              <w:tc>
                <w:tcPr>
                  <w:tcW w:w="2206" w:type="dxa"/>
                  <w:tcBorders>
                    <w:tl2br w:val="nil"/>
                    <w:tr2bl w:val="nil"/>
                  </w:tcBorders>
                  <w:noWrap w:val="0"/>
                  <w:vAlign w:val="center"/>
                </w:tcPr>
                <w:p w14:paraId="42D1C2A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2.5小时（含车程）</w:t>
                  </w:r>
                </w:p>
              </w:tc>
              <w:tc>
                <w:tcPr>
                  <w:tcW w:w="2540" w:type="dxa"/>
                  <w:vMerge w:val="continue"/>
                  <w:tcBorders>
                    <w:tl2br w:val="nil"/>
                    <w:tr2bl w:val="nil"/>
                  </w:tcBorders>
                  <w:noWrap w:val="0"/>
                  <w:vAlign w:val="center"/>
                </w:tcPr>
                <w:p w14:paraId="32B170A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p>
              </w:tc>
            </w:tr>
            <w:tr w14:paraId="3CDAA05A">
              <w:tblPrEx>
                <w:tblBorders>
                  <w:top w:val="single" w:color="E36C09" w:sz="4" w:space="0"/>
                  <w:left w:val="single" w:color="E36C09" w:sz="4" w:space="0"/>
                  <w:bottom w:val="single" w:color="E36C09" w:sz="4" w:space="0"/>
                  <w:right w:val="single" w:color="E36C09" w:sz="4" w:space="0"/>
                  <w:insideH w:val="single" w:color="E36C09" w:sz="4" w:space="0"/>
                  <w:insideV w:val="single" w:color="E36C09" w:sz="4" w:space="0"/>
                </w:tblBorders>
                <w:tblCellMar>
                  <w:top w:w="0" w:type="dxa"/>
                  <w:left w:w="108" w:type="dxa"/>
                  <w:bottom w:w="0" w:type="dxa"/>
                  <w:right w:w="108" w:type="dxa"/>
                </w:tblCellMar>
              </w:tblPrEx>
              <w:trPr>
                <w:trHeight w:val="312" w:hRule="atLeast"/>
                <w:jc w:val="center"/>
              </w:trPr>
              <w:tc>
                <w:tcPr>
                  <w:tcW w:w="4282" w:type="dxa"/>
                  <w:tcBorders>
                    <w:tl2br w:val="nil"/>
                    <w:tr2bl w:val="nil"/>
                  </w:tcBorders>
                  <w:noWrap w:val="0"/>
                  <w:vAlign w:val="center"/>
                </w:tcPr>
                <w:p w14:paraId="65B79F6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上海【登金茂大厦88层+浦江游船】</w:t>
                  </w:r>
                </w:p>
              </w:tc>
              <w:tc>
                <w:tcPr>
                  <w:tcW w:w="1265" w:type="dxa"/>
                  <w:tcBorders>
                    <w:tl2br w:val="nil"/>
                    <w:tr2bl w:val="nil"/>
                  </w:tcBorders>
                  <w:noWrap w:val="0"/>
                  <w:vAlign w:val="center"/>
                </w:tcPr>
                <w:p w14:paraId="2674F85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300-320</w:t>
                  </w:r>
                </w:p>
              </w:tc>
              <w:tc>
                <w:tcPr>
                  <w:tcW w:w="2206" w:type="dxa"/>
                  <w:tcBorders>
                    <w:tl2br w:val="nil"/>
                    <w:tr2bl w:val="nil"/>
                  </w:tcBorders>
                  <w:noWrap w:val="0"/>
                  <w:vAlign w:val="center"/>
                </w:tcPr>
                <w:p w14:paraId="3974C1F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2.5小时（含车程）</w:t>
                  </w:r>
                </w:p>
              </w:tc>
              <w:tc>
                <w:tcPr>
                  <w:tcW w:w="2540" w:type="dxa"/>
                  <w:vMerge w:val="continue"/>
                  <w:tcBorders>
                    <w:tl2br w:val="nil"/>
                    <w:tr2bl w:val="nil"/>
                  </w:tcBorders>
                  <w:noWrap w:val="0"/>
                  <w:vAlign w:val="center"/>
                </w:tcPr>
                <w:p w14:paraId="5D4AB90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p>
              </w:tc>
            </w:tr>
          </w:tbl>
          <w:p w14:paraId="5948E17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3、旅游者在选择之前务必慎重考虑，一旦确认参加并付费后将无法退款；</w:t>
            </w:r>
          </w:p>
          <w:p w14:paraId="7937B7B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4、旅游者如果希望参加行程中未列的自费项目，请务必在自费同意书上签字确认；如发生纠纷，旅行社将把旅游者签字确认的文件作为处理依据，以保证双方的合法权益；</w:t>
            </w:r>
          </w:p>
          <w:p w14:paraId="02E64DE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5、如旅游者不参加自费项目的，将根据行程安排的内容进行活动（不参加自费的请在自费景点附近等侯）。</w:t>
            </w:r>
          </w:p>
          <w:p w14:paraId="1E54CD5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color w:val="FF0000"/>
                <w:sz w:val="21"/>
                <w:szCs w:val="21"/>
                <w:lang w:val="en-US" w:eastAsia="zh-CN"/>
              </w:rPr>
            </w:pPr>
            <w:r>
              <w:rPr>
                <w:rFonts w:hint="eastAsia" w:ascii="微软雅黑" w:hAnsi="微软雅黑" w:eastAsia="微软雅黑" w:cs="微软雅黑"/>
                <w:color w:val="FF0000"/>
                <w:sz w:val="21"/>
                <w:szCs w:val="21"/>
                <w:lang w:val="en-US" w:eastAsia="zh-CN"/>
              </w:rPr>
              <w:t>6、如若自行购票又需要享受旅游车和导游服务，需要支付100元/人/点的服务费；</w:t>
            </w:r>
          </w:p>
          <w:p w14:paraId="3BE1CB8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旅游者（签字）：                                 旅行社（签字/盖章）：                   </w:t>
            </w:r>
          </w:p>
          <w:p w14:paraId="271D08F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微软雅黑" w:hAnsi="微软雅黑" w:eastAsia="微软雅黑" w:cs="微软雅黑"/>
                <w:b/>
                <w:kern w:val="2"/>
                <w:sz w:val="21"/>
                <w:szCs w:val="21"/>
                <w:lang w:val="en-US" w:eastAsia="zh-CN" w:bidi="ar-SA"/>
              </w:rPr>
            </w:pPr>
            <w:r>
              <w:rPr>
                <w:rFonts w:hint="eastAsia" w:ascii="微软雅黑" w:hAnsi="微软雅黑" w:eastAsia="微软雅黑" w:cs="微软雅黑"/>
                <w:sz w:val="21"/>
                <w:szCs w:val="21"/>
                <w:lang w:val="en-US" w:eastAsia="zh-CN"/>
              </w:rPr>
              <w:t xml:space="preserve">日期：                                           日期：   </w:t>
            </w:r>
            <w:r>
              <w:rPr>
                <w:rFonts w:hint="eastAsia" w:ascii="微软雅黑" w:hAnsi="微软雅黑" w:eastAsia="微软雅黑" w:cs="微软雅黑"/>
                <w:sz w:val="18"/>
                <w:szCs w:val="18"/>
                <w:lang w:val="en-US" w:eastAsia="zh-CN"/>
              </w:rPr>
              <w:t xml:space="preserve">                 </w:t>
            </w:r>
          </w:p>
        </w:tc>
      </w:tr>
      <w:tr w14:paraId="45B9451C">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10851" w:type="dxa"/>
            <w:gridSpan w:val="2"/>
            <w:tcBorders>
              <w:tl2br w:val="nil"/>
              <w:tr2bl w:val="nil"/>
            </w:tcBorders>
            <w:shd w:val="clear" w:color="auto" w:fill="974706" w:themeFill="accent6" w:themeFillShade="7F"/>
            <w:noWrap w:val="0"/>
            <w:vAlign w:val="top"/>
          </w:tcPr>
          <w:p w14:paraId="2079117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65" w:rightChars="31" w:firstLine="0" w:firstLineChars="0"/>
              <w:jc w:val="center"/>
              <w:textAlignment w:val="auto"/>
              <w:rPr>
                <w:rFonts w:hint="eastAsia" w:ascii="微软雅黑" w:hAnsi="微软雅黑" w:eastAsia="微软雅黑" w:cs="微软雅黑"/>
                <w:b/>
                <w:bCs/>
                <w:color w:val="FFFFFF"/>
                <w:kern w:val="0"/>
                <w:sz w:val="36"/>
                <w:szCs w:val="36"/>
                <w:lang w:eastAsia="zh-CN"/>
              </w:rPr>
            </w:pPr>
            <w:r>
              <w:rPr>
                <w:rFonts w:hint="eastAsia" w:ascii="微软雅黑" w:hAnsi="微软雅黑" w:eastAsia="微软雅黑" w:cs="微软雅黑"/>
                <w:b/>
                <w:color w:val="FFFFFF"/>
                <w:kern w:val="0"/>
                <w:sz w:val="36"/>
                <w:szCs w:val="36"/>
                <w:vertAlign w:val="baseline"/>
                <w:lang w:eastAsia="zh-CN"/>
              </w:rPr>
              <w:t>温馨提示</w:t>
            </w:r>
          </w:p>
        </w:tc>
      </w:tr>
      <w:tr w14:paraId="73BCC426">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10851" w:type="dxa"/>
            <w:gridSpan w:val="2"/>
            <w:tcBorders>
              <w:tl2br w:val="nil"/>
              <w:tr2bl w:val="nil"/>
            </w:tcBorders>
            <w:shd w:val="clear" w:color="auto" w:fill="F1F1F1"/>
            <w:noWrap w:val="0"/>
            <w:vAlign w:val="top"/>
          </w:tcPr>
          <w:p w14:paraId="29F3805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b/>
                <w:bCs/>
                <w:color w:val="000000"/>
                <w:sz w:val="21"/>
                <w:szCs w:val="21"/>
              </w:rPr>
              <w:t>关于西湖交通管制：</w:t>
            </w:r>
            <w:r>
              <w:rPr>
                <w:rFonts w:hint="eastAsia" w:ascii="微软雅黑" w:hAnsi="微软雅黑" w:eastAsia="微软雅黑" w:cs="微软雅黑"/>
                <w:color w:val="000000"/>
                <w:sz w:val="21"/>
                <w:szCs w:val="21"/>
              </w:rPr>
              <w:t>杭州西湖位于杭州市中心，早高峰晚高峰只有公交车才允许进入西湖景区，外地车辆不允许进入，所以我们在杭州这天选择要早起，提早进入西湖游玩，西湖船游为景区交通工具，客人可自行选择。</w:t>
            </w:r>
          </w:p>
          <w:p w14:paraId="117C533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1、</w:t>
            </w:r>
            <w:r>
              <w:rPr>
                <w:rFonts w:hint="eastAsia" w:ascii="微软雅黑" w:hAnsi="微软雅黑" w:eastAsia="微软雅黑" w:cs="微软雅黑"/>
                <w:color w:val="000000"/>
                <w:sz w:val="21"/>
                <w:szCs w:val="21"/>
              </w:rPr>
              <w:t>行程内景点各类证件的优惠请提前出示证件并询问导游；推荐的自费景点，如需要使用优惠证件或自带门票，需另外缴纳车位费、导游服务费：100元/点/人。</w:t>
            </w:r>
          </w:p>
          <w:p w14:paraId="666998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2、若</w:t>
            </w:r>
            <w:r>
              <w:rPr>
                <w:rFonts w:hint="eastAsia" w:ascii="微软雅黑" w:hAnsi="微软雅黑" w:eastAsia="微软雅黑" w:cs="微软雅黑"/>
                <w:color w:val="000000"/>
                <w:sz w:val="21"/>
                <w:szCs w:val="21"/>
              </w:rPr>
              <w:t>火车团</w:t>
            </w:r>
            <w:r>
              <w:rPr>
                <w:rFonts w:hint="eastAsia"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rPr>
              <w:t>节假日期间游客返程只保证抵达目的地，不保证车次及等级，票款按实际算，多退少补。</w:t>
            </w:r>
          </w:p>
          <w:p w14:paraId="026B503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lang w:val="en-US" w:eastAsia="zh-CN"/>
              </w:rPr>
              <w:t>3、</w:t>
            </w:r>
            <w:r>
              <w:rPr>
                <w:rFonts w:hint="eastAsia" w:ascii="微软雅黑" w:hAnsi="微软雅黑" w:eastAsia="微软雅黑" w:cs="微软雅黑"/>
                <w:color w:val="000000"/>
                <w:sz w:val="21"/>
                <w:szCs w:val="21"/>
              </w:rPr>
              <w:t>以上行程安排仅供参考，因各种不确定因素影响，在不减少景点的情况下以具体实际情况前后调整为准，如遇人力不可抗拒因素或游客自身原因造成的行程延误或变更，旅行社不承担由此造成的损失和责任，超支费用由游客自理。</w:t>
            </w:r>
          </w:p>
          <w:p w14:paraId="69CFC1A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b/>
                <w:color w:val="FFFFFF"/>
                <w:kern w:val="0"/>
                <w:sz w:val="36"/>
                <w:szCs w:val="36"/>
                <w:vertAlign w:val="baseline"/>
                <w:lang w:eastAsia="zh-CN"/>
              </w:rPr>
            </w:pPr>
            <w:r>
              <w:rPr>
                <w:rFonts w:hint="eastAsia" w:ascii="微软雅黑" w:hAnsi="微软雅黑" w:eastAsia="微软雅黑" w:cs="微软雅黑"/>
                <w:color w:val="000000"/>
                <w:sz w:val="21"/>
                <w:szCs w:val="21"/>
                <w:lang w:val="en-US" w:eastAsia="zh-CN"/>
              </w:rPr>
              <w:t>4、</w:t>
            </w:r>
            <w:r>
              <w:rPr>
                <w:rFonts w:hint="eastAsia" w:ascii="微软雅黑" w:hAnsi="微软雅黑" w:eastAsia="微软雅黑" w:cs="微软雅黑"/>
                <w:color w:val="000000"/>
                <w:sz w:val="21"/>
                <w:szCs w:val="21"/>
              </w:rPr>
              <w:t>旅游期间，如因个人原因中途离团、项目未参加，一律不退。离团期间安全问题由客人自理，并在离团前签订离团证明，如有问题，我社将协助解决，但不承担责任。</w:t>
            </w:r>
          </w:p>
        </w:tc>
      </w:tr>
      <w:tr w14:paraId="4DDEDF12">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rPr>
          <w:trHeight w:val="643" w:hRule="atLeast"/>
        </w:trPr>
        <w:tc>
          <w:tcPr>
            <w:tcW w:w="10851" w:type="dxa"/>
            <w:gridSpan w:val="2"/>
            <w:tcBorders>
              <w:tl2br w:val="nil"/>
              <w:tr2bl w:val="nil"/>
            </w:tcBorders>
            <w:shd w:val="clear" w:color="auto" w:fill="F1F1F1"/>
            <w:noWrap w:val="0"/>
            <w:vAlign w:val="top"/>
          </w:tcPr>
          <w:p w14:paraId="278B46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微软雅黑" w:hAnsi="微软雅黑" w:eastAsia="微软雅黑" w:cs="微软雅黑"/>
                <w:b/>
                <w:bCs/>
                <w:color w:val="FFFFFF"/>
                <w:kern w:val="0"/>
                <w:sz w:val="36"/>
                <w:szCs w:val="36"/>
                <w:lang w:eastAsia="zh-CN"/>
              </w:rPr>
            </w:pPr>
            <w:r>
              <w:rPr>
                <w:rFonts w:hint="eastAsia" w:ascii="微软雅黑" w:hAnsi="微软雅黑" w:eastAsia="微软雅黑" w:cs="微软雅黑"/>
                <w:color w:val="000000"/>
                <w:sz w:val="21"/>
                <w:szCs w:val="21"/>
                <w:lang w:val="en-US" w:eastAsia="zh-CN"/>
              </w:rPr>
              <w:t>5、</w:t>
            </w:r>
            <w:r>
              <w:rPr>
                <w:rFonts w:hint="eastAsia" w:ascii="微软雅黑" w:hAnsi="微软雅黑" w:eastAsia="微软雅黑" w:cs="微软雅黑"/>
                <w:color w:val="000000"/>
                <w:sz w:val="21"/>
                <w:szCs w:val="21"/>
              </w:rPr>
              <w:t>团队接待质量以您的意见单为准,请仔细填写，并留下联系方式，方便我们回访。如果您不填写意见单，旅行社将视您放弃此项权利并按照无投诉处理；同时旅行社不接受与质量访问单相违背的投诉。</w:t>
            </w:r>
          </w:p>
        </w:tc>
      </w:tr>
      <w:tr w14:paraId="0260F2B8">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10851" w:type="dxa"/>
            <w:gridSpan w:val="2"/>
            <w:tcBorders>
              <w:tl2br w:val="nil"/>
              <w:tr2bl w:val="nil"/>
            </w:tcBorders>
            <w:shd w:val="clear" w:color="auto" w:fill="974706" w:themeFill="accent6" w:themeFillShade="7F"/>
            <w:noWrap w:val="0"/>
            <w:vAlign w:val="top"/>
          </w:tcPr>
          <w:p w14:paraId="7570860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65" w:rightChars="31" w:firstLine="0" w:firstLineChars="0"/>
              <w:jc w:val="center"/>
              <w:textAlignment w:val="auto"/>
              <w:rPr>
                <w:rFonts w:hint="eastAsia" w:ascii="微软雅黑" w:hAnsi="微软雅黑" w:eastAsia="微软雅黑" w:cs="微软雅黑"/>
                <w:b/>
                <w:bCs/>
                <w:color w:val="FFFFFF"/>
                <w:kern w:val="0"/>
                <w:sz w:val="36"/>
                <w:szCs w:val="36"/>
                <w:lang w:eastAsia="zh-CN"/>
              </w:rPr>
            </w:pPr>
            <w:r>
              <w:rPr>
                <w:rFonts w:hint="eastAsia" w:ascii="微软雅黑" w:hAnsi="微软雅黑" w:eastAsia="微软雅黑" w:cs="微软雅黑"/>
                <w:b/>
                <w:bCs/>
                <w:color w:val="FFFFFF"/>
                <w:kern w:val="0"/>
                <w:sz w:val="28"/>
                <w:szCs w:val="28"/>
                <w:lang w:eastAsia="zh-CN"/>
              </w:rPr>
              <w:t>注意事项</w:t>
            </w:r>
          </w:p>
        </w:tc>
      </w:tr>
      <w:tr w14:paraId="659B4187">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10851" w:type="dxa"/>
            <w:gridSpan w:val="2"/>
            <w:tcBorders>
              <w:tl2br w:val="nil"/>
              <w:tr2bl w:val="nil"/>
            </w:tcBorders>
            <w:noWrap w:val="0"/>
            <w:vAlign w:val="center"/>
          </w:tcPr>
          <w:p w14:paraId="048559D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未满18岁的未成年者及不具备完全民事行为能力者，请由其法定代理人陪同出游，如代理人同意未满18岁的未成年者及不具备完全民事行为能力者独立参团旅游的，视为其法定代理人完全理解并自愿接受合同内容及行程中的所有约定。</w:t>
            </w:r>
          </w:p>
          <w:p w14:paraId="12F709F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此团费为提前付费采购的团队优惠价，游客旅游途中自愿放弃的景点、餐、交通及住宿等，旅行社将不退还费用（如是散客拼团行程非独立成团的，请在签定旅游合同时注明签定散客拼团联合发团，并请游客谅解散客拼团局限性，本团的旅游接待将委托其他旅行社共同完成。我社将对团队质量进行随时监控，请就团队质量问题及时与我社沟通，以便及时协助解决。如果游客中途须离团，必须向导游做事先书面说明，故离团过程中一切安全责任和费用由游客自行负责。</w:t>
            </w:r>
          </w:p>
          <w:p w14:paraId="1823947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3、行程中所列酒店仅供参考，具体各地酒店名称、用餐地点以实际安排为准。</w:t>
            </w:r>
          </w:p>
          <w:p w14:paraId="77D4862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4、由于此行程属长途旅游线路，旅行社不接受80周岁以上的游客出游报名，不接受未成年人单独报名（夏令营行程除外），18岁以下未成年人报名参团必须有监护人签字的委托书；</w:t>
            </w:r>
          </w:p>
          <w:p w14:paraId="2B9CB85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09" w:right="0" w:hanging="308" w:hangingChars="147"/>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5、行程中提供的景区游览时间均为参考时间，导游在保证大多数游客正常游览时间的前提下，具体时间受游客游览进度、景区容载能力、导游购买团队票的速度、停车场距景区进出口的远近、天气因素、政府行为等不可抗力的多种条件制约；</w:t>
            </w:r>
          </w:p>
          <w:p w14:paraId="4A50885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6、不可抗力说明：根据新《旅游法》第67条的规定，现做如下说明：</w:t>
            </w:r>
          </w:p>
          <w:p w14:paraId="3C54BA2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w:t>
            </w:r>
          </w:p>
          <w:p w14:paraId="646EED0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根据第67条第一、第二、第四项规定，如因不可抗力因素不能避免的影响了旅游行程的，游客不同意变更行程安排的，双方可以解除合同，但游客必须支付旅行社相关的机票、房费、车费、操作服务费用等的损失后，将余额退还游客。</w:t>
            </w:r>
          </w:p>
          <w:p w14:paraId="38F13D5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7、参团最低人数说明：此行程参团最低人数为10人（含），根据新《旅游法》第63条规定，未达到约定人数解除合同，组团社须征得游客的书面同意，旅行社退还收取的所有费用；组团社须征得游客的同意，可以委托转让其他旅行社履行合同。</w:t>
            </w:r>
          </w:p>
          <w:p w14:paraId="4BBB037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8、转让说明：根据新《旅游法》第64条规定，包价旅游中游客自身的权利义务可以转让给第三人，旅行社没有正当理由不得拒绝，增加的费用由游客和第三人承担，如：游客的出行机票已经购买好，由于自身原因不能前往，这时可以转让第三人，但是增加的机票退改费用将由游客和第三人承担。</w:t>
            </w:r>
          </w:p>
          <w:p w14:paraId="1A13DDC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 xml:space="preserve">9、退团说明 </w:t>
            </w:r>
          </w:p>
          <w:p w14:paraId="23B8184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1）由于旅行社责任造成退团的、游客私自退团的，不可抗力双方同意退团的等情况，所有的款项规定都有约定，但绝不包含行程内旅行社所赠送的旅游景点和项目安排的金额。</w:t>
            </w:r>
          </w:p>
          <w:p w14:paraId="4785E15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2）根据新《旅游法》第63条规定，游客（包括旅游团队）与旅行社双方签订合同后，旅行社将视为可以向航空公司购买机票等大交通，游客单方违约的，将适用《旅游法》第63条规定。</w:t>
            </w:r>
          </w:p>
          <w:p w14:paraId="3ED8B1D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行程中发生的纠纷，游客不得以拒绝登(下)机(车、船)、入住酒店等行为拖延行程或者脱团，不得拉结其他游客阻止旅游行程的正常运行，否则，除承担给旅行社造成的实际损失外，还要承担旅游费用20-30%的违约金。</w:t>
            </w:r>
          </w:p>
          <w:p w14:paraId="4A53F26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10、行程变更说明</w:t>
            </w:r>
          </w:p>
          <w:p w14:paraId="7607401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1）当有不可抗力因素造成需要变更行程的，旅行社须要求全团客人签字认可方执行。</w:t>
            </w:r>
          </w:p>
          <w:p w14:paraId="4FFDFD0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2）当团队运行过程中，游客自愿提出变更行程，如：变换景点等，旅行社须要求全团客人签字认可方执行。</w:t>
            </w:r>
          </w:p>
          <w:p w14:paraId="292B8A0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3）在行程过程中合理的、恰当的、善意的景点及路线的先后顺序的调整是有必要的，可行的，游客一致同意导游口头解释并执行。</w:t>
            </w:r>
          </w:p>
          <w:p w14:paraId="34D811E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11、游客健康状况说明</w:t>
            </w:r>
          </w:p>
          <w:p w14:paraId="50B1D17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1）本次长途旅行，时间长、温差大，报名前请仔细阅读相关注意事项。游客在充分了解旅途的辛苦和行程中医疗条件有限的前提下，确定自己的身体健康状况适合参加本次旅游活动后方可报名参团。</w:t>
            </w:r>
          </w:p>
          <w:p w14:paraId="533FD3E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游客的个人健康信息，参团时必须如实告知我社。如存下列情况，请勿参加旅游团：传染性疾病患者、心血管疾病患者、脑血管疾病患者、精神病患者。如果隐瞒病情后在旅游过程中进一步发作和伤亡，旅行社不承担任何责任。</w:t>
            </w:r>
          </w:p>
          <w:p w14:paraId="5FFFA0C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3）因个人既有病史和身体残障在旅游行程中引起的疾病进一步发作和伤亡，旅行社不承担任何责任。</w:t>
            </w:r>
          </w:p>
          <w:p w14:paraId="713F688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4）游客有民族风俗习惯和宗教信仰请提前告知我社。</w:t>
            </w:r>
          </w:p>
          <w:p w14:paraId="3AAC675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315" w:right="0" w:hanging="315" w:hangingChars="15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12、解决纠纷的方式</w:t>
            </w:r>
          </w:p>
          <w:p w14:paraId="4DB4E02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textAlignment w:val="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1）根据《旅游法》第92条的规定，一旦游客与旅游经营者发生纠纷，双方都本着协商的态度进行解决，大事化小，小事化了。</w:t>
            </w:r>
          </w:p>
          <w:p w14:paraId="178C0B2F">
            <w:pPr>
              <w:pStyle w:val="24"/>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420" w:leftChars="200" w:right="0" w:rightChars="0" w:firstLine="0" w:firstLineChars="0"/>
              <w:textAlignment w:val="auto"/>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sz w:val="21"/>
                <w:szCs w:val="21"/>
              </w:rPr>
              <w:t>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w:t>
            </w:r>
          </w:p>
        </w:tc>
      </w:tr>
      <w:tr w14:paraId="1A8AAEEF">
        <w:tblPrEx>
          <w:tblBorders>
            <w:top w:val="double" w:color="974706" w:themeColor="accent6" w:themeShade="7F" w:sz="4" w:space="0"/>
            <w:left w:val="double" w:color="974706" w:themeColor="accent6" w:themeShade="7F" w:sz="4" w:space="0"/>
            <w:bottom w:val="double" w:color="974706" w:themeColor="accent6" w:themeShade="7F" w:sz="4" w:space="0"/>
            <w:right w:val="double" w:color="974706" w:themeColor="accent6" w:themeShade="7F" w:sz="4" w:space="0"/>
            <w:insideH w:val="single" w:color="974706" w:themeColor="accent6" w:themeShade="7F" w:sz="4" w:space="0"/>
            <w:insideV w:val="single" w:color="974706" w:themeColor="accent6" w:themeShade="7F" w:sz="4" w:space="0"/>
          </w:tblBorders>
          <w:tblCellMar>
            <w:top w:w="0" w:type="dxa"/>
            <w:left w:w="108" w:type="dxa"/>
            <w:bottom w:w="0" w:type="dxa"/>
            <w:right w:w="108" w:type="dxa"/>
          </w:tblCellMar>
        </w:tblPrEx>
        <w:tc>
          <w:tcPr>
            <w:tcW w:w="10851" w:type="dxa"/>
            <w:gridSpan w:val="2"/>
            <w:tcBorders>
              <w:tl2br w:val="nil"/>
              <w:tr2bl w:val="nil"/>
            </w:tcBorders>
            <w:noWrap w:val="0"/>
            <w:vAlign w:val="top"/>
          </w:tcPr>
          <w:p w14:paraId="3194E5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65" w:rightChars="31"/>
              <w:textAlignment w:val="auto"/>
              <w:rPr>
                <w:rFonts w:hint="eastAsia" w:ascii="微软雅黑" w:hAnsi="微软雅黑" w:eastAsia="微软雅黑" w:cs="微软雅黑"/>
                <w:color w:val="000000"/>
                <w:kern w:val="0"/>
                <w:sz w:val="21"/>
                <w:szCs w:val="21"/>
              </w:rPr>
            </w:pPr>
            <w:r>
              <w:rPr>
                <w:rFonts w:hint="eastAsia" w:ascii="微软雅黑" w:hAnsi="微软雅黑" w:eastAsia="微软雅黑" w:cs="微软雅黑"/>
                <w:color w:val="000000"/>
                <w:kern w:val="0"/>
                <w:sz w:val="21"/>
                <w:szCs w:val="21"/>
              </w:rPr>
              <w:t>旅游者承诺：本人已认真阅读了上述行程安排，理解并同意遵守本补充协议，本补充协议作为旅游合同的附件，与旅游合同具有同等效力。如本补充协议与旅游合同存在不一致，以本补充协议为准。</w:t>
            </w:r>
          </w:p>
          <w:p w14:paraId="48E54EAC">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17" w:leftChars="-8" w:right="-1153" w:rightChars="-549" w:firstLine="16" w:firstLineChars="8"/>
              <w:jc w:val="left"/>
              <w:textAlignment w:val="auto"/>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xml:space="preserve">旅游者：                                        旅行社： </w:t>
            </w:r>
          </w:p>
          <w:p w14:paraId="7CEFFC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1153" w:rightChars="-549" w:firstLine="12" w:firstLineChars="6"/>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Cs w:val="21"/>
              </w:rPr>
              <w:t>日期：                                          日期：</w:t>
            </w:r>
          </w:p>
        </w:tc>
      </w:tr>
    </w:tbl>
    <w:p w14:paraId="39B792AE">
      <w:pPr>
        <w:keepNext w:val="0"/>
        <w:keepLines w:val="0"/>
        <w:pageBreakBefore w:val="0"/>
        <w:kinsoku/>
        <w:wordWrap/>
        <w:overflowPunct/>
        <w:topLinePunct w:val="0"/>
        <w:autoSpaceDN/>
        <w:bidi w:val="0"/>
        <w:adjustRightInd w:val="0"/>
        <w:snapToGrid w:val="0"/>
        <w:spacing w:line="240" w:lineRule="auto"/>
        <w:ind w:firstLine="412" w:firstLineChars="196"/>
        <w:textAlignment w:val="auto"/>
        <w:rPr>
          <w:rFonts w:hint="eastAsia" w:ascii="微软雅黑" w:hAnsi="微软雅黑" w:eastAsia="微软雅黑" w:cs="微软雅黑"/>
          <w:b/>
          <w:szCs w:val="21"/>
        </w:rPr>
      </w:pPr>
    </w:p>
    <w:sectPr>
      <w:headerReference r:id="rId3" w:type="default"/>
      <w:pgSz w:w="11906" w:h="16838"/>
      <w:pgMar w:top="1389" w:right="1080" w:bottom="454" w:left="108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雅黑 Black">
    <w:altName w:val="黑体"/>
    <w:panose1 w:val="00000A00000000000000"/>
    <w:charset w:val="86"/>
    <w:family w:val="auto"/>
    <w:pitch w:val="default"/>
    <w:sig w:usb0="00000000" w:usb1="00000000" w:usb2="00000016" w:usb3="00000000" w:csb0="600401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5BD52">
    <w:pPr>
      <w:pStyle w:val="6"/>
      <w:rPr>
        <w:rFonts w:hint="eastAsia" w:eastAsia="宋体"/>
        <w:lang w:eastAsia="zh-CN"/>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-678180</wp:posOffset>
          </wp:positionH>
          <wp:positionV relativeFrom="paragraph">
            <wp:posOffset>-546735</wp:posOffset>
          </wp:positionV>
          <wp:extent cx="7600950" cy="10709275"/>
          <wp:effectExtent l="0" t="0" r="0" b="15875"/>
          <wp:wrapNone/>
          <wp:docPr id="2" name="图片 2" descr="C:/Users/Administrator/Desktop/20260123151311.jpg2026012315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20260123151311.jpg20260123151311"/>
                  <pic:cNvPicPr>
                    <a:picLocks noChangeAspect="1"/>
                  </pic:cNvPicPr>
                </pic:nvPicPr>
                <pic:blipFill>
                  <a:blip r:embed="rId1"/>
                  <a:srcRect t="146" b="146"/>
                  <a:stretch>
                    <a:fillRect/>
                  </a:stretch>
                </pic:blipFill>
                <pic:spPr>
                  <a:xfrm>
                    <a:off x="0" y="0"/>
                    <a:ext cx="7600950" cy="107092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167DE0"/>
    <w:multiLevelType w:val="singleLevel"/>
    <w:tmpl w:val="D2167DE0"/>
    <w:lvl w:ilvl="0" w:tentative="0">
      <w:start w:val="1"/>
      <w:numFmt w:val="decimal"/>
      <w:suff w:val="space"/>
      <w:lvlText w:val="%1."/>
      <w:lvlJc w:val="left"/>
    </w:lvl>
  </w:abstractNum>
  <w:abstractNum w:abstractNumId="1">
    <w:nsid w:val="0000000A"/>
    <w:multiLevelType w:val="multilevel"/>
    <w:tmpl w:val="0000000A"/>
    <w:lvl w:ilvl="0" w:tentative="0">
      <w:start w:val="1"/>
      <w:numFmt w:val="decimal"/>
      <w:lvlText w:val="%1、"/>
      <w:lvlJc w:val="left"/>
      <w:pPr>
        <w:tabs>
          <w:tab w:val="left" w:pos="350"/>
        </w:tabs>
        <w:ind w:left="350" w:hanging="360"/>
      </w:pPr>
      <w:rPr>
        <w:rFonts w:ascii="Times New Roman" w:hAnsi="Times New Roman" w:eastAsia="Times New Roman" w:cs="Times New Roman"/>
      </w:rPr>
    </w:lvl>
    <w:lvl w:ilvl="1" w:tentative="0">
      <w:start w:val="1"/>
      <w:numFmt w:val="lowerLetter"/>
      <w:lvlText w:val="%2)"/>
      <w:lvlJc w:val="left"/>
      <w:pPr>
        <w:tabs>
          <w:tab w:val="left" w:pos="830"/>
        </w:tabs>
        <w:ind w:left="830" w:hanging="420"/>
      </w:pPr>
    </w:lvl>
    <w:lvl w:ilvl="2" w:tentative="0">
      <w:start w:val="1"/>
      <w:numFmt w:val="lowerRoman"/>
      <w:lvlText w:val="%3."/>
      <w:lvlJc w:val="right"/>
      <w:pPr>
        <w:tabs>
          <w:tab w:val="left" w:pos="1250"/>
        </w:tabs>
        <w:ind w:left="1250" w:hanging="420"/>
      </w:pPr>
    </w:lvl>
    <w:lvl w:ilvl="3" w:tentative="0">
      <w:start w:val="1"/>
      <w:numFmt w:val="decimal"/>
      <w:lvlText w:val="%4."/>
      <w:lvlJc w:val="left"/>
      <w:pPr>
        <w:tabs>
          <w:tab w:val="left" w:pos="1670"/>
        </w:tabs>
        <w:ind w:left="1670" w:hanging="420"/>
      </w:pPr>
    </w:lvl>
    <w:lvl w:ilvl="4" w:tentative="0">
      <w:start w:val="1"/>
      <w:numFmt w:val="lowerLetter"/>
      <w:lvlText w:val="%5)"/>
      <w:lvlJc w:val="left"/>
      <w:pPr>
        <w:tabs>
          <w:tab w:val="left" w:pos="2090"/>
        </w:tabs>
        <w:ind w:left="2090" w:hanging="420"/>
      </w:pPr>
    </w:lvl>
    <w:lvl w:ilvl="5" w:tentative="0">
      <w:start w:val="1"/>
      <w:numFmt w:val="lowerRoman"/>
      <w:lvlText w:val="%6."/>
      <w:lvlJc w:val="right"/>
      <w:pPr>
        <w:tabs>
          <w:tab w:val="left" w:pos="2510"/>
        </w:tabs>
        <w:ind w:left="2510" w:hanging="420"/>
      </w:pPr>
    </w:lvl>
    <w:lvl w:ilvl="6" w:tentative="0">
      <w:start w:val="1"/>
      <w:numFmt w:val="decimal"/>
      <w:lvlText w:val="%7."/>
      <w:lvlJc w:val="left"/>
      <w:pPr>
        <w:tabs>
          <w:tab w:val="left" w:pos="2930"/>
        </w:tabs>
        <w:ind w:left="2930" w:hanging="420"/>
      </w:pPr>
    </w:lvl>
    <w:lvl w:ilvl="7" w:tentative="0">
      <w:start w:val="1"/>
      <w:numFmt w:val="lowerLetter"/>
      <w:lvlText w:val="%8)"/>
      <w:lvlJc w:val="left"/>
      <w:pPr>
        <w:tabs>
          <w:tab w:val="left" w:pos="3350"/>
        </w:tabs>
        <w:ind w:left="3350" w:hanging="420"/>
      </w:pPr>
    </w:lvl>
    <w:lvl w:ilvl="8" w:tentative="0">
      <w:start w:val="1"/>
      <w:numFmt w:val="lowerRoman"/>
      <w:lvlText w:val="%9."/>
      <w:lvlJc w:val="right"/>
      <w:pPr>
        <w:tabs>
          <w:tab w:val="left" w:pos="3770"/>
        </w:tabs>
        <w:ind w:left="3770" w:hanging="420"/>
      </w:pPr>
    </w:lvl>
  </w:abstractNum>
  <w:abstractNum w:abstractNumId="2">
    <w:nsid w:val="024A18E8"/>
    <w:multiLevelType w:val="singleLevel"/>
    <w:tmpl w:val="024A18E8"/>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3ZmNkNjI2ZjQwNTUyZWFjZGI2NzNjNWI2NDY1ODkifQ=="/>
    <w:docVar w:name="KSO_WPS_MARK_KEY" w:val="02cdd60f-4122-4db0-8629-756759644d98"/>
  </w:docVars>
  <w:rsids>
    <w:rsidRoot w:val="00EF7498"/>
    <w:rsid w:val="000B5968"/>
    <w:rsid w:val="001D209F"/>
    <w:rsid w:val="00207E3C"/>
    <w:rsid w:val="002B66A1"/>
    <w:rsid w:val="00302F76"/>
    <w:rsid w:val="003629B3"/>
    <w:rsid w:val="00374F1D"/>
    <w:rsid w:val="00563FBA"/>
    <w:rsid w:val="005C1833"/>
    <w:rsid w:val="005F0E3E"/>
    <w:rsid w:val="00684EC8"/>
    <w:rsid w:val="00692B54"/>
    <w:rsid w:val="007022B1"/>
    <w:rsid w:val="007414BA"/>
    <w:rsid w:val="00796C1B"/>
    <w:rsid w:val="00800039"/>
    <w:rsid w:val="0084175B"/>
    <w:rsid w:val="009A5769"/>
    <w:rsid w:val="00A10693"/>
    <w:rsid w:val="00A364B9"/>
    <w:rsid w:val="00A761D2"/>
    <w:rsid w:val="00AA2D72"/>
    <w:rsid w:val="00BB508A"/>
    <w:rsid w:val="00BD544E"/>
    <w:rsid w:val="00CA1247"/>
    <w:rsid w:val="00D1686C"/>
    <w:rsid w:val="00D31A40"/>
    <w:rsid w:val="00D33A94"/>
    <w:rsid w:val="00D743B5"/>
    <w:rsid w:val="00DE4534"/>
    <w:rsid w:val="00E45020"/>
    <w:rsid w:val="00EB5EA5"/>
    <w:rsid w:val="00EF7498"/>
    <w:rsid w:val="00F32BAB"/>
    <w:rsid w:val="00F42C67"/>
    <w:rsid w:val="00F74587"/>
    <w:rsid w:val="00F96B34"/>
    <w:rsid w:val="010651C4"/>
    <w:rsid w:val="01166726"/>
    <w:rsid w:val="013B2FC4"/>
    <w:rsid w:val="02013A6F"/>
    <w:rsid w:val="026649E6"/>
    <w:rsid w:val="026779BA"/>
    <w:rsid w:val="02AB0619"/>
    <w:rsid w:val="02EF1E8A"/>
    <w:rsid w:val="02FE2DC7"/>
    <w:rsid w:val="03004DCA"/>
    <w:rsid w:val="036459AC"/>
    <w:rsid w:val="03AF7FD4"/>
    <w:rsid w:val="03B1713F"/>
    <w:rsid w:val="03B8477B"/>
    <w:rsid w:val="03B97BA2"/>
    <w:rsid w:val="03C055D4"/>
    <w:rsid w:val="03F67248"/>
    <w:rsid w:val="04806B11"/>
    <w:rsid w:val="04EC1514"/>
    <w:rsid w:val="05CA098C"/>
    <w:rsid w:val="06132605"/>
    <w:rsid w:val="06F35CC1"/>
    <w:rsid w:val="07037A32"/>
    <w:rsid w:val="076631B2"/>
    <w:rsid w:val="076D29FE"/>
    <w:rsid w:val="0771633B"/>
    <w:rsid w:val="078D6B1E"/>
    <w:rsid w:val="07933F69"/>
    <w:rsid w:val="08282116"/>
    <w:rsid w:val="09870D3F"/>
    <w:rsid w:val="0A067AB9"/>
    <w:rsid w:val="0A321D22"/>
    <w:rsid w:val="0A6D7B38"/>
    <w:rsid w:val="0A990F8B"/>
    <w:rsid w:val="0C126BE9"/>
    <w:rsid w:val="0C142490"/>
    <w:rsid w:val="0C295045"/>
    <w:rsid w:val="0C2E09EC"/>
    <w:rsid w:val="0C62191E"/>
    <w:rsid w:val="0CB47DB3"/>
    <w:rsid w:val="0CC977A5"/>
    <w:rsid w:val="0D020A0B"/>
    <w:rsid w:val="0D365943"/>
    <w:rsid w:val="0DBC44CA"/>
    <w:rsid w:val="0DE70CC2"/>
    <w:rsid w:val="0E2D7D0A"/>
    <w:rsid w:val="0E2E40B0"/>
    <w:rsid w:val="0E4312DC"/>
    <w:rsid w:val="0EDD287D"/>
    <w:rsid w:val="0F2F1860"/>
    <w:rsid w:val="0F9D3DDE"/>
    <w:rsid w:val="0F9E4C2C"/>
    <w:rsid w:val="0FD20B69"/>
    <w:rsid w:val="10152804"/>
    <w:rsid w:val="103B154F"/>
    <w:rsid w:val="10B71C89"/>
    <w:rsid w:val="10DF4658"/>
    <w:rsid w:val="10E8616A"/>
    <w:rsid w:val="11230F50"/>
    <w:rsid w:val="11DD2029"/>
    <w:rsid w:val="11E64458"/>
    <w:rsid w:val="12412F69"/>
    <w:rsid w:val="127174C9"/>
    <w:rsid w:val="128B14A3"/>
    <w:rsid w:val="12F9379A"/>
    <w:rsid w:val="131E0E23"/>
    <w:rsid w:val="131F7D00"/>
    <w:rsid w:val="134E15F5"/>
    <w:rsid w:val="13951592"/>
    <w:rsid w:val="13D27DA8"/>
    <w:rsid w:val="13F13588"/>
    <w:rsid w:val="148937C0"/>
    <w:rsid w:val="149B3E2D"/>
    <w:rsid w:val="14E35142"/>
    <w:rsid w:val="14FB646C"/>
    <w:rsid w:val="164C2CF7"/>
    <w:rsid w:val="16565924"/>
    <w:rsid w:val="16677B31"/>
    <w:rsid w:val="16C32FBA"/>
    <w:rsid w:val="17E90284"/>
    <w:rsid w:val="1805662D"/>
    <w:rsid w:val="18315550"/>
    <w:rsid w:val="18754787"/>
    <w:rsid w:val="18842C1C"/>
    <w:rsid w:val="18BA4890"/>
    <w:rsid w:val="18CA0C49"/>
    <w:rsid w:val="18E5610C"/>
    <w:rsid w:val="190B50EC"/>
    <w:rsid w:val="19CF3FCC"/>
    <w:rsid w:val="19E55198"/>
    <w:rsid w:val="1A8509E3"/>
    <w:rsid w:val="1A907114"/>
    <w:rsid w:val="1AD559B1"/>
    <w:rsid w:val="1B0D1905"/>
    <w:rsid w:val="1B157E2D"/>
    <w:rsid w:val="1B341999"/>
    <w:rsid w:val="1B3A5814"/>
    <w:rsid w:val="1B4A5220"/>
    <w:rsid w:val="1B882A24"/>
    <w:rsid w:val="1BAB0196"/>
    <w:rsid w:val="1BC02626"/>
    <w:rsid w:val="1C1C33B1"/>
    <w:rsid w:val="1C477374"/>
    <w:rsid w:val="1C5C3E53"/>
    <w:rsid w:val="1C734D27"/>
    <w:rsid w:val="1C83342F"/>
    <w:rsid w:val="1CC14A95"/>
    <w:rsid w:val="1D185F8C"/>
    <w:rsid w:val="1D792624"/>
    <w:rsid w:val="1D840C3D"/>
    <w:rsid w:val="1DF7257F"/>
    <w:rsid w:val="1DFE4231"/>
    <w:rsid w:val="1E053C75"/>
    <w:rsid w:val="1E422B3C"/>
    <w:rsid w:val="1EBF3869"/>
    <w:rsid w:val="1ECB3353"/>
    <w:rsid w:val="1ED65854"/>
    <w:rsid w:val="1F187AED"/>
    <w:rsid w:val="1F4F3ED3"/>
    <w:rsid w:val="1F6837F4"/>
    <w:rsid w:val="1FA36FDC"/>
    <w:rsid w:val="1FA868FF"/>
    <w:rsid w:val="1FCA1DA7"/>
    <w:rsid w:val="20112FE8"/>
    <w:rsid w:val="204364A1"/>
    <w:rsid w:val="209D487B"/>
    <w:rsid w:val="20A83220"/>
    <w:rsid w:val="215A0D79"/>
    <w:rsid w:val="21754E60"/>
    <w:rsid w:val="21A17D82"/>
    <w:rsid w:val="21B71C43"/>
    <w:rsid w:val="22110A5F"/>
    <w:rsid w:val="22B00E99"/>
    <w:rsid w:val="22D95913"/>
    <w:rsid w:val="23694EE9"/>
    <w:rsid w:val="238C6352"/>
    <w:rsid w:val="23D67210"/>
    <w:rsid w:val="244575FA"/>
    <w:rsid w:val="2446347C"/>
    <w:rsid w:val="247A4C56"/>
    <w:rsid w:val="248416C4"/>
    <w:rsid w:val="24A146FA"/>
    <w:rsid w:val="24AE34FB"/>
    <w:rsid w:val="24B91EA0"/>
    <w:rsid w:val="24E0567E"/>
    <w:rsid w:val="24FD011C"/>
    <w:rsid w:val="2502405D"/>
    <w:rsid w:val="25131153"/>
    <w:rsid w:val="258B7398"/>
    <w:rsid w:val="25C32FD6"/>
    <w:rsid w:val="25F96F6E"/>
    <w:rsid w:val="25FD7B6A"/>
    <w:rsid w:val="26286937"/>
    <w:rsid w:val="267F5A6F"/>
    <w:rsid w:val="26953344"/>
    <w:rsid w:val="26FC6074"/>
    <w:rsid w:val="270A1561"/>
    <w:rsid w:val="27454596"/>
    <w:rsid w:val="27547C5E"/>
    <w:rsid w:val="275F53D0"/>
    <w:rsid w:val="27694ACB"/>
    <w:rsid w:val="27A31D34"/>
    <w:rsid w:val="27A951A2"/>
    <w:rsid w:val="284827B8"/>
    <w:rsid w:val="285307FA"/>
    <w:rsid w:val="28754330"/>
    <w:rsid w:val="287B7B98"/>
    <w:rsid w:val="28CF4E13"/>
    <w:rsid w:val="28ED0480"/>
    <w:rsid w:val="290A4A78"/>
    <w:rsid w:val="29895DCD"/>
    <w:rsid w:val="29B80971"/>
    <w:rsid w:val="29BA46F0"/>
    <w:rsid w:val="29DA08EE"/>
    <w:rsid w:val="29DF01FC"/>
    <w:rsid w:val="2A0F1AC1"/>
    <w:rsid w:val="2A1856DC"/>
    <w:rsid w:val="2A7F3244"/>
    <w:rsid w:val="2B425DA2"/>
    <w:rsid w:val="2B5A3C59"/>
    <w:rsid w:val="2B8E1990"/>
    <w:rsid w:val="2BF30D15"/>
    <w:rsid w:val="2C566BAA"/>
    <w:rsid w:val="2C815051"/>
    <w:rsid w:val="2C8B5ED0"/>
    <w:rsid w:val="2C960B02"/>
    <w:rsid w:val="2D1C4F74"/>
    <w:rsid w:val="2DA97DDA"/>
    <w:rsid w:val="2DC31699"/>
    <w:rsid w:val="2E67296D"/>
    <w:rsid w:val="2E7555D3"/>
    <w:rsid w:val="2E8A0DE4"/>
    <w:rsid w:val="2F1F0B51"/>
    <w:rsid w:val="2F49337A"/>
    <w:rsid w:val="2FEE6EA1"/>
    <w:rsid w:val="301A2346"/>
    <w:rsid w:val="304B42F4"/>
    <w:rsid w:val="30D37E45"/>
    <w:rsid w:val="31067C7A"/>
    <w:rsid w:val="31341609"/>
    <w:rsid w:val="317909ED"/>
    <w:rsid w:val="317C5755"/>
    <w:rsid w:val="31D350D8"/>
    <w:rsid w:val="324C4177"/>
    <w:rsid w:val="325A3905"/>
    <w:rsid w:val="32701483"/>
    <w:rsid w:val="329A1BCB"/>
    <w:rsid w:val="32A64C18"/>
    <w:rsid w:val="32B617CD"/>
    <w:rsid w:val="32D239F9"/>
    <w:rsid w:val="32E90013"/>
    <w:rsid w:val="332350B4"/>
    <w:rsid w:val="335505B5"/>
    <w:rsid w:val="337A6C9E"/>
    <w:rsid w:val="33A1668A"/>
    <w:rsid w:val="33EA3E24"/>
    <w:rsid w:val="33F93869"/>
    <w:rsid w:val="34416248"/>
    <w:rsid w:val="344559FC"/>
    <w:rsid w:val="34690860"/>
    <w:rsid w:val="34BD6E42"/>
    <w:rsid w:val="34F96F97"/>
    <w:rsid w:val="35641556"/>
    <w:rsid w:val="35A739BA"/>
    <w:rsid w:val="35B20971"/>
    <w:rsid w:val="35FF0CF3"/>
    <w:rsid w:val="36034D29"/>
    <w:rsid w:val="360C394D"/>
    <w:rsid w:val="3681400F"/>
    <w:rsid w:val="36BF0643"/>
    <w:rsid w:val="36D729D5"/>
    <w:rsid w:val="37A163A1"/>
    <w:rsid w:val="37BE35FD"/>
    <w:rsid w:val="37E30166"/>
    <w:rsid w:val="38077F57"/>
    <w:rsid w:val="385352E9"/>
    <w:rsid w:val="38637D01"/>
    <w:rsid w:val="38AF0BAC"/>
    <w:rsid w:val="38DB333D"/>
    <w:rsid w:val="3927491C"/>
    <w:rsid w:val="39311BAD"/>
    <w:rsid w:val="39D24B04"/>
    <w:rsid w:val="39F72EDB"/>
    <w:rsid w:val="3A4F10BA"/>
    <w:rsid w:val="3A6C7FD0"/>
    <w:rsid w:val="3A6F278C"/>
    <w:rsid w:val="3AA07BDF"/>
    <w:rsid w:val="3AB57E15"/>
    <w:rsid w:val="3AB6421C"/>
    <w:rsid w:val="3AC30CC3"/>
    <w:rsid w:val="3B2241AD"/>
    <w:rsid w:val="3B5509D0"/>
    <w:rsid w:val="3B760DBA"/>
    <w:rsid w:val="3B7F1FB8"/>
    <w:rsid w:val="3BA33F8D"/>
    <w:rsid w:val="3BB969D5"/>
    <w:rsid w:val="3BCB655A"/>
    <w:rsid w:val="3C137C90"/>
    <w:rsid w:val="3C3E53CD"/>
    <w:rsid w:val="3C506674"/>
    <w:rsid w:val="3C6504EB"/>
    <w:rsid w:val="3C65673D"/>
    <w:rsid w:val="3D2B057A"/>
    <w:rsid w:val="3D9D58DF"/>
    <w:rsid w:val="3DA401F3"/>
    <w:rsid w:val="3E06101C"/>
    <w:rsid w:val="3E211B2E"/>
    <w:rsid w:val="3E4B4977"/>
    <w:rsid w:val="3E740EBA"/>
    <w:rsid w:val="3E9260C7"/>
    <w:rsid w:val="3EF142B8"/>
    <w:rsid w:val="3EFC5C64"/>
    <w:rsid w:val="3F5860E5"/>
    <w:rsid w:val="3F6E6A54"/>
    <w:rsid w:val="3F7F07F1"/>
    <w:rsid w:val="3F9A4950"/>
    <w:rsid w:val="3FBF0C05"/>
    <w:rsid w:val="3FC01EDD"/>
    <w:rsid w:val="3FDA52ED"/>
    <w:rsid w:val="3FEEFB4B"/>
    <w:rsid w:val="3FF55A9C"/>
    <w:rsid w:val="40C10BF6"/>
    <w:rsid w:val="40D9084F"/>
    <w:rsid w:val="41605725"/>
    <w:rsid w:val="4167496C"/>
    <w:rsid w:val="41DC0E57"/>
    <w:rsid w:val="41E719A3"/>
    <w:rsid w:val="42042D76"/>
    <w:rsid w:val="420A03DA"/>
    <w:rsid w:val="424035C0"/>
    <w:rsid w:val="42723962"/>
    <w:rsid w:val="42BB0068"/>
    <w:rsid w:val="42C7507F"/>
    <w:rsid w:val="430C7C45"/>
    <w:rsid w:val="432E153D"/>
    <w:rsid w:val="435C6482"/>
    <w:rsid w:val="43717AD1"/>
    <w:rsid w:val="437B616A"/>
    <w:rsid w:val="43895D9D"/>
    <w:rsid w:val="439711A6"/>
    <w:rsid w:val="43CE2E1A"/>
    <w:rsid w:val="44143239"/>
    <w:rsid w:val="445E11C9"/>
    <w:rsid w:val="44693014"/>
    <w:rsid w:val="44A44A59"/>
    <w:rsid w:val="44C52D7F"/>
    <w:rsid w:val="45060E1B"/>
    <w:rsid w:val="45263E91"/>
    <w:rsid w:val="4554734F"/>
    <w:rsid w:val="458F482B"/>
    <w:rsid w:val="459A0163"/>
    <w:rsid w:val="45C8527B"/>
    <w:rsid w:val="45FA3181"/>
    <w:rsid w:val="468D32A0"/>
    <w:rsid w:val="47151EE6"/>
    <w:rsid w:val="477129C7"/>
    <w:rsid w:val="47F37205"/>
    <w:rsid w:val="48087145"/>
    <w:rsid w:val="483D40CA"/>
    <w:rsid w:val="483F6EFA"/>
    <w:rsid w:val="484521EF"/>
    <w:rsid w:val="48653036"/>
    <w:rsid w:val="48816919"/>
    <w:rsid w:val="48A753FF"/>
    <w:rsid w:val="49045B10"/>
    <w:rsid w:val="49180694"/>
    <w:rsid w:val="4A2319E6"/>
    <w:rsid w:val="4AAA17BF"/>
    <w:rsid w:val="4B654430"/>
    <w:rsid w:val="4B7F3565"/>
    <w:rsid w:val="4B9177DA"/>
    <w:rsid w:val="4CBA02B0"/>
    <w:rsid w:val="4D2A7DAE"/>
    <w:rsid w:val="4D313178"/>
    <w:rsid w:val="4D510618"/>
    <w:rsid w:val="4DC02378"/>
    <w:rsid w:val="4DE9551B"/>
    <w:rsid w:val="4E0741FF"/>
    <w:rsid w:val="4E0E03E7"/>
    <w:rsid w:val="4E563B10"/>
    <w:rsid w:val="4E5B79A0"/>
    <w:rsid w:val="4E824F2D"/>
    <w:rsid w:val="4F5E467E"/>
    <w:rsid w:val="4F8847C5"/>
    <w:rsid w:val="4FBF2B3C"/>
    <w:rsid w:val="5013436B"/>
    <w:rsid w:val="50254156"/>
    <w:rsid w:val="506C2E41"/>
    <w:rsid w:val="5090714A"/>
    <w:rsid w:val="509610C9"/>
    <w:rsid w:val="512A18AC"/>
    <w:rsid w:val="513E485F"/>
    <w:rsid w:val="515005C0"/>
    <w:rsid w:val="520B0A47"/>
    <w:rsid w:val="5231183D"/>
    <w:rsid w:val="525278DF"/>
    <w:rsid w:val="52681106"/>
    <w:rsid w:val="532742F5"/>
    <w:rsid w:val="532C6987"/>
    <w:rsid w:val="534F73A8"/>
    <w:rsid w:val="53875090"/>
    <w:rsid w:val="53CB1124"/>
    <w:rsid w:val="54436421"/>
    <w:rsid w:val="544B5ECB"/>
    <w:rsid w:val="54877DC4"/>
    <w:rsid w:val="54983165"/>
    <w:rsid w:val="54AB4AB2"/>
    <w:rsid w:val="54D86AC4"/>
    <w:rsid w:val="556F1F83"/>
    <w:rsid w:val="55753CA7"/>
    <w:rsid w:val="559073C5"/>
    <w:rsid w:val="560721BC"/>
    <w:rsid w:val="56146509"/>
    <w:rsid w:val="562E1F16"/>
    <w:rsid w:val="566413BC"/>
    <w:rsid w:val="56674982"/>
    <w:rsid w:val="56691308"/>
    <w:rsid w:val="56895E8C"/>
    <w:rsid w:val="57671164"/>
    <w:rsid w:val="57BD0624"/>
    <w:rsid w:val="57D040B3"/>
    <w:rsid w:val="58AA3075"/>
    <w:rsid w:val="58DB1F63"/>
    <w:rsid w:val="58EE2259"/>
    <w:rsid w:val="591744C4"/>
    <w:rsid w:val="591968B2"/>
    <w:rsid w:val="59552992"/>
    <w:rsid w:val="595F0718"/>
    <w:rsid w:val="59B166C6"/>
    <w:rsid w:val="59B212B6"/>
    <w:rsid w:val="59D625D1"/>
    <w:rsid w:val="59DB1995"/>
    <w:rsid w:val="5A1A5CFB"/>
    <w:rsid w:val="5A4E40E6"/>
    <w:rsid w:val="5AA41CEA"/>
    <w:rsid w:val="5AF47F72"/>
    <w:rsid w:val="5B5C2003"/>
    <w:rsid w:val="5BC36F93"/>
    <w:rsid w:val="5C191CD0"/>
    <w:rsid w:val="5C69772C"/>
    <w:rsid w:val="5C891B7C"/>
    <w:rsid w:val="5CC11316"/>
    <w:rsid w:val="5D1E6319"/>
    <w:rsid w:val="5D3F66DF"/>
    <w:rsid w:val="5D40FCB9"/>
    <w:rsid w:val="5DFF7AE1"/>
    <w:rsid w:val="5F0B4A28"/>
    <w:rsid w:val="5F12709C"/>
    <w:rsid w:val="5F133A28"/>
    <w:rsid w:val="5F3471CE"/>
    <w:rsid w:val="5F3B5EA6"/>
    <w:rsid w:val="5F5E0899"/>
    <w:rsid w:val="60212D4A"/>
    <w:rsid w:val="606044F6"/>
    <w:rsid w:val="60947AE8"/>
    <w:rsid w:val="60A64D7A"/>
    <w:rsid w:val="612A0D3B"/>
    <w:rsid w:val="614B07E5"/>
    <w:rsid w:val="61B13F28"/>
    <w:rsid w:val="62556334"/>
    <w:rsid w:val="62686EF3"/>
    <w:rsid w:val="62C70D09"/>
    <w:rsid w:val="62D235D7"/>
    <w:rsid w:val="63037AA8"/>
    <w:rsid w:val="63463EA4"/>
    <w:rsid w:val="635C567B"/>
    <w:rsid w:val="63C400A7"/>
    <w:rsid w:val="63CF4ED2"/>
    <w:rsid w:val="63EC14C3"/>
    <w:rsid w:val="63EE7328"/>
    <w:rsid w:val="63FA510E"/>
    <w:rsid w:val="6492355E"/>
    <w:rsid w:val="64AA08E2"/>
    <w:rsid w:val="64BD72D5"/>
    <w:rsid w:val="651D10B4"/>
    <w:rsid w:val="6566389D"/>
    <w:rsid w:val="65AD581D"/>
    <w:rsid w:val="65BD644B"/>
    <w:rsid w:val="65F26268"/>
    <w:rsid w:val="6643230D"/>
    <w:rsid w:val="667D75EA"/>
    <w:rsid w:val="668A10AD"/>
    <w:rsid w:val="669C5534"/>
    <w:rsid w:val="66A23F66"/>
    <w:rsid w:val="66C7577B"/>
    <w:rsid w:val="6707714E"/>
    <w:rsid w:val="670C04C4"/>
    <w:rsid w:val="67227163"/>
    <w:rsid w:val="67EC2FBF"/>
    <w:rsid w:val="68313786"/>
    <w:rsid w:val="68737AFB"/>
    <w:rsid w:val="68912B90"/>
    <w:rsid w:val="689D6E02"/>
    <w:rsid w:val="68BC5088"/>
    <w:rsid w:val="68E86BE3"/>
    <w:rsid w:val="68ED6FEF"/>
    <w:rsid w:val="68FE4D92"/>
    <w:rsid w:val="69164798"/>
    <w:rsid w:val="69694D46"/>
    <w:rsid w:val="69A71894"/>
    <w:rsid w:val="69B03942"/>
    <w:rsid w:val="69BB78EE"/>
    <w:rsid w:val="6A042CAC"/>
    <w:rsid w:val="6A3008B5"/>
    <w:rsid w:val="6A5A0DD2"/>
    <w:rsid w:val="6AB302C8"/>
    <w:rsid w:val="6AE02ABF"/>
    <w:rsid w:val="6B2F733E"/>
    <w:rsid w:val="6B6F4633"/>
    <w:rsid w:val="6BAF753A"/>
    <w:rsid w:val="6BF13766"/>
    <w:rsid w:val="6BF4038D"/>
    <w:rsid w:val="6C103720"/>
    <w:rsid w:val="6C20629F"/>
    <w:rsid w:val="6C496C32"/>
    <w:rsid w:val="6CC73E64"/>
    <w:rsid w:val="6CD00E4C"/>
    <w:rsid w:val="6D1D7D1F"/>
    <w:rsid w:val="6D6A08DB"/>
    <w:rsid w:val="6E34121C"/>
    <w:rsid w:val="6E3F02ED"/>
    <w:rsid w:val="6E497DEE"/>
    <w:rsid w:val="6EFC426B"/>
    <w:rsid w:val="6F0742B3"/>
    <w:rsid w:val="6F453697"/>
    <w:rsid w:val="6F4A0AAD"/>
    <w:rsid w:val="6F620B5E"/>
    <w:rsid w:val="6F80189D"/>
    <w:rsid w:val="6FD54DBD"/>
    <w:rsid w:val="6FE435E0"/>
    <w:rsid w:val="701B28B0"/>
    <w:rsid w:val="702C2B3D"/>
    <w:rsid w:val="706107C0"/>
    <w:rsid w:val="70860455"/>
    <w:rsid w:val="70C561C1"/>
    <w:rsid w:val="70F52EE5"/>
    <w:rsid w:val="710851C5"/>
    <w:rsid w:val="711041C2"/>
    <w:rsid w:val="71145A61"/>
    <w:rsid w:val="712D6B22"/>
    <w:rsid w:val="712F166D"/>
    <w:rsid w:val="723143F0"/>
    <w:rsid w:val="72A85BE7"/>
    <w:rsid w:val="72C24B8A"/>
    <w:rsid w:val="730E02AF"/>
    <w:rsid w:val="733C0307"/>
    <w:rsid w:val="73531DBC"/>
    <w:rsid w:val="7356799C"/>
    <w:rsid w:val="73880040"/>
    <w:rsid w:val="73AA2C1B"/>
    <w:rsid w:val="73AD2FD2"/>
    <w:rsid w:val="73C6500C"/>
    <w:rsid w:val="73F445C4"/>
    <w:rsid w:val="742F4960"/>
    <w:rsid w:val="743712F3"/>
    <w:rsid w:val="744146FD"/>
    <w:rsid w:val="74B32145"/>
    <w:rsid w:val="74E13026"/>
    <w:rsid w:val="75004416"/>
    <w:rsid w:val="75292AF9"/>
    <w:rsid w:val="7533454F"/>
    <w:rsid w:val="756C46A5"/>
    <w:rsid w:val="75A365DD"/>
    <w:rsid w:val="75A72C10"/>
    <w:rsid w:val="75B96799"/>
    <w:rsid w:val="75D915D9"/>
    <w:rsid w:val="7686417E"/>
    <w:rsid w:val="76EF0EB1"/>
    <w:rsid w:val="772B3BE1"/>
    <w:rsid w:val="77456248"/>
    <w:rsid w:val="77497744"/>
    <w:rsid w:val="774A0777"/>
    <w:rsid w:val="774C7176"/>
    <w:rsid w:val="774F5658"/>
    <w:rsid w:val="77BE1F0F"/>
    <w:rsid w:val="78623556"/>
    <w:rsid w:val="789248C8"/>
    <w:rsid w:val="78996C14"/>
    <w:rsid w:val="789E20B4"/>
    <w:rsid w:val="799D051F"/>
    <w:rsid w:val="79BA2F1D"/>
    <w:rsid w:val="7A340F22"/>
    <w:rsid w:val="7AB20112"/>
    <w:rsid w:val="7AFFE68E"/>
    <w:rsid w:val="7B042C1F"/>
    <w:rsid w:val="7B4D7639"/>
    <w:rsid w:val="7B594380"/>
    <w:rsid w:val="7BEF1BA3"/>
    <w:rsid w:val="7C152EF9"/>
    <w:rsid w:val="7C3650DE"/>
    <w:rsid w:val="7C3F2598"/>
    <w:rsid w:val="7CAD4FBB"/>
    <w:rsid w:val="7D292F2B"/>
    <w:rsid w:val="7DCE51E9"/>
    <w:rsid w:val="7E040C0B"/>
    <w:rsid w:val="7E394D59"/>
    <w:rsid w:val="7E927FC5"/>
    <w:rsid w:val="7F55076C"/>
    <w:rsid w:val="F3F95A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qFormat/>
    <w:uiPriority w:val="0"/>
    <w:pPr>
      <w:keepNext/>
      <w:keepLines/>
      <w:spacing w:line="576" w:lineRule="auto"/>
      <w:outlineLvl w:val="0"/>
    </w:pPr>
    <w:rPr>
      <w:rFonts w:ascii="Times New Roman" w:hAnsi="Times New Roman"/>
      <w:b/>
      <w:kern w:val="44"/>
      <w:sz w:val="44"/>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unhideWhenUsed/>
    <w:qFormat/>
    <w:uiPriority w:val="99"/>
    <w:pPr>
      <w:widowControl w:val="0"/>
      <w:spacing w:after="120"/>
      <w:jc w:val="both"/>
    </w:pPr>
    <w:rPr>
      <w:kern w:val="2"/>
      <w:sz w:val="21"/>
      <w:szCs w:val="24"/>
    </w:r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paragraph" w:styleId="8">
    <w:name w:val="Body Text First Indent"/>
    <w:basedOn w:val="3"/>
    <w:qFormat/>
    <w:uiPriority w:val="0"/>
    <w:pPr>
      <w:keepNext w:val="0"/>
      <w:keepLines w:val="0"/>
      <w:widowControl w:val="0"/>
      <w:suppressLineNumbers w:val="0"/>
      <w:spacing w:before="0" w:beforeAutospacing="0" w:after="0" w:afterAutospacing="0"/>
      <w:ind w:left="0" w:right="0" w:firstLine="420" w:firstLineChars="100"/>
      <w:jc w:val="both"/>
    </w:pPr>
    <w:rPr>
      <w:rFonts w:hint="default" w:ascii="Times New Roman" w:hAnsi="Times New Roman" w:eastAsia="宋体" w:cs="Times New Roman"/>
      <w:kern w:val="2"/>
      <w:sz w:val="28"/>
      <w:szCs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styleId="14">
    <w:name w:val="List Paragraph"/>
    <w:basedOn w:val="1"/>
    <w:qFormat/>
    <w:uiPriority w:val="34"/>
    <w:pPr>
      <w:ind w:firstLine="420" w:firstLineChars="200"/>
    </w:pPr>
  </w:style>
  <w:style w:type="character" w:customStyle="1" w:styleId="15">
    <w:name w:val="标题 1 Char"/>
    <w:basedOn w:val="11"/>
    <w:link w:val="2"/>
    <w:qFormat/>
    <w:uiPriority w:val="0"/>
    <w:rPr>
      <w:b/>
      <w:kern w:val="44"/>
      <w:sz w:val="44"/>
    </w:rPr>
  </w:style>
  <w:style w:type="character" w:customStyle="1" w:styleId="16">
    <w:name w:val="标题 1 Char1"/>
    <w:link w:val="2"/>
    <w:qFormat/>
    <w:uiPriority w:val="0"/>
    <w:rPr>
      <w:b/>
      <w:kern w:val="44"/>
      <w:sz w:val="44"/>
    </w:rPr>
  </w:style>
  <w:style w:type="paragraph" w:customStyle="1" w:styleId="17">
    <w:name w:val="msolistparagraph"/>
    <w:basedOn w:val="1"/>
    <w:qFormat/>
    <w:uiPriority w:val="0"/>
    <w:pPr>
      <w:ind w:firstLine="420" w:firstLineChars="200"/>
    </w:pPr>
    <w:rPr>
      <w:rFonts w:ascii="Times New Roman" w:hAnsi="Times New Roman"/>
    </w:rPr>
  </w:style>
  <w:style w:type="character" w:customStyle="1" w:styleId="18">
    <w:name w:val="批注框文本 Char"/>
    <w:basedOn w:val="11"/>
    <w:link w:val="4"/>
    <w:qFormat/>
    <w:uiPriority w:val="0"/>
    <w:rPr>
      <w:rFonts w:ascii="Calibri" w:hAnsi="Calibri"/>
      <w:kern w:val="2"/>
      <w:sz w:val="18"/>
      <w:szCs w:val="18"/>
    </w:rPr>
  </w:style>
  <w:style w:type="character" w:customStyle="1" w:styleId="19">
    <w:name w:val="16"/>
    <w:basedOn w:val="11"/>
    <w:qFormat/>
    <w:uiPriority w:val="0"/>
    <w:rPr>
      <w:rFonts w:hint="default" w:ascii="Times New Roman" w:hAnsi="Times New Roman" w:cs="Times New Roman"/>
      <w:b/>
      <w:kern w:val="44"/>
      <w:sz w:val="44"/>
      <w:szCs w:val="44"/>
    </w:rPr>
  </w:style>
  <w:style w:type="character" w:customStyle="1" w:styleId="20">
    <w:name w:val="10"/>
    <w:basedOn w:val="11"/>
    <w:qFormat/>
    <w:uiPriority w:val="0"/>
    <w:rPr>
      <w:rFonts w:hint="default" w:ascii="Times New Roman" w:hAnsi="Times New Roman" w:cs="Times New Roman"/>
    </w:rPr>
  </w:style>
  <w:style w:type="character" w:customStyle="1" w:styleId="21">
    <w:name w:val="15"/>
    <w:basedOn w:val="11"/>
    <w:qFormat/>
    <w:uiPriority w:val="0"/>
    <w:rPr>
      <w:rFonts w:hint="default" w:ascii="Times New Roman" w:hAnsi="Times New Roman" w:cs="Times New Roman"/>
      <w:b/>
      <w:kern w:val="44"/>
      <w:sz w:val="44"/>
      <w:szCs w:val="44"/>
    </w:rPr>
  </w:style>
  <w:style w:type="paragraph" w:customStyle="1" w:styleId="22">
    <w:name w:val="样式1"/>
    <w:basedOn w:val="1"/>
    <w:next w:val="1"/>
    <w:qFormat/>
    <w:uiPriority w:val="0"/>
    <w:pPr>
      <w:keepNext/>
      <w:keepLines/>
      <w:spacing w:before="120" w:after="120" w:line="360" w:lineRule="auto"/>
      <w:ind w:firstLine="720" w:firstLineChars="300"/>
      <w:outlineLvl w:val="0"/>
    </w:pPr>
    <w:rPr>
      <w:rFonts w:hint="eastAsia" w:ascii="宋体" w:hAnsi="宋体" w:eastAsia="宋体" w:cs="宋体"/>
      <w:bCs/>
      <w:kern w:val="44"/>
      <w:sz w:val="24"/>
    </w:rPr>
  </w:style>
  <w:style w:type="character" w:customStyle="1" w:styleId="23">
    <w:name w:val="标题 1 字符"/>
    <w:basedOn w:val="11"/>
    <w:qFormat/>
    <w:uiPriority w:val="0"/>
    <w:rPr>
      <w:b/>
      <w:kern w:val="44"/>
      <w:sz w:val="44"/>
    </w:rPr>
  </w:style>
  <w:style w:type="paragraph" w:customStyle="1" w:styleId="2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6675</Words>
  <Characters>6965</Characters>
  <Lines>7</Lines>
  <Paragraphs>20</Paragraphs>
  <TotalTime>12</TotalTime>
  <ScaleCrop>false</ScaleCrop>
  <LinksUpToDate>false</LinksUpToDate>
  <CharactersWithSpaces>7104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2023-08-29T11:17:00Z</dcterms:created>
  <dc:creator>Administrator</dc:creator>
  <cp:lastModifiedBy>青旅总部阿宝</cp:lastModifiedBy>
  <dcterms:modified xsi:type="dcterms:W3CDTF">2026-01-30T03:50:44Z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333C00A01E9A4447A284E97455D6658A_13</vt:lpwstr>
  </property>
  <property fmtid="{D5CDD505-2E9C-101B-9397-08002B2CF9AE}" pid="4" name="KSOTemplateDocerSaveRecord">
    <vt:lpwstr>eyJoZGlkIjoiZWFlYzU2OTNiNjczYjMwYmJhZjVkNDU1ZjVkN2VkZjYiLCJ1c2VySWQiOiIyNzA2MDQ4NSJ9</vt:lpwstr>
  </property>
</Properties>
</file>