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隶书" w:hAnsi="宋体" w:eastAsia="隶书"/>
          <w:b/>
          <w:sz w:val="48"/>
          <w:szCs w:val="48"/>
        </w:rPr>
      </w:pP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4"/>
                    <a:stretch>
                      <a:fillRect/>
                    </a:stretch>
                  </pic:blipFill>
                  <pic:spPr>
                    <a:xfrm>
                      <a:off x="0" y="0"/>
                      <a:ext cx="7581900" cy="1068070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5"/>
                    <a:stretch>
                      <a:fillRect/>
                    </a:stretch>
                  </pic:blipFill>
                  <pic:spPr>
                    <a:xfrm>
                      <a:off x="0" y="0"/>
                      <a:ext cx="7552690" cy="10638790"/>
                    </a:xfrm>
                    <a:prstGeom prst="rect">
                      <a:avLst/>
                    </a:prstGeom>
                    <a:noFill/>
                    <a:ln>
                      <a:noFill/>
                    </a:ln>
                  </pic:spPr>
                </pic:pic>
              </a:graphicData>
            </a:graphic>
          </wp:inline>
        </w:drawing>
      </w:r>
    </w:p>
    <w:p>
      <w:pPr>
        <w:jc w:val="center"/>
        <w:rPr>
          <w:rFonts w:ascii="隶书" w:hAnsi="宋体" w:eastAsia="隶书"/>
          <w:b/>
          <w:color w:val="FF0000"/>
          <w:sz w:val="52"/>
          <w:szCs w:val="52"/>
        </w:rPr>
      </w:pPr>
    </w:p>
    <w:p>
      <w:pPr>
        <w:jc w:val="center"/>
        <w:rPr>
          <w:rFonts w:ascii="隶书" w:hAnsi="宋体" w:eastAsia="隶书"/>
          <w:b/>
          <w:color w:val="FF0000"/>
          <w:sz w:val="48"/>
          <w:szCs w:val="48"/>
        </w:rPr>
      </w:pPr>
      <w:r>
        <w:rPr>
          <w:rFonts w:hint="eastAsia" w:ascii="隶书" w:hAnsi="宋体" w:eastAsia="隶书"/>
          <w:b/>
          <w:color w:val="FF0000"/>
          <w:sz w:val="48"/>
          <w:szCs w:val="48"/>
          <w:lang w:eastAsia="zh-CN"/>
        </w:rPr>
        <w:t>乐享江南</w:t>
      </w:r>
      <w:r>
        <w:rPr>
          <w:rFonts w:hint="eastAsia" w:ascii="隶书" w:hAnsi="宋体" w:eastAsia="隶书"/>
          <w:b/>
          <w:color w:val="FF0000"/>
          <w:sz w:val="48"/>
          <w:szCs w:val="48"/>
          <w:lang w:val="en-US" w:eastAsia="zh-CN"/>
        </w:rPr>
        <w:t>-</w:t>
      </w:r>
      <w:r>
        <w:rPr>
          <w:rFonts w:hint="eastAsia" w:ascii="隶书" w:hAnsi="宋体" w:eastAsia="隶书"/>
          <w:b/>
          <w:color w:val="FF0000"/>
          <w:sz w:val="48"/>
          <w:szCs w:val="48"/>
        </w:rPr>
        <w:t>华东五市+</w:t>
      </w:r>
      <w:r>
        <w:rPr>
          <w:rFonts w:hint="eastAsia" w:ascii="隶书" w:hAnsi="宋体" w:eastAsia="隶书"/>
          <w:b/>
          <w:color w:val="FF0000"/>
          <w:sz w:val="48"/>
          <w:szCs w:val="48"/>
          <w:lang w:eastAsia="zh-CN"/>
        </w:rPr>
        <w:t>双</w:t>
      </w:r>
      <w:r>
        <w:rPr>
          <w:rFonts w:hint="eastAsia" w:ascii="隶书" w:hAnsi="宋体" w:eastAsia="隶书"/>
          <w:b/>
          <w:color w:val="FF0000"/>
          <w:sz w:val="48"/>
          <w:szCs w:val="48"/>
        </w:rPr>
        <w:t>园林+</w:t>
      </w:r>
      <w:r>
        <w:rPr>
          <w:rFonts w:hint="eastAsia" w:ascii="隶书" w:hAnsi="宋体" w:eastAsia="隶书"/>
          <w:b/>
          <w:color w:val="FF0000"/>
          <w:sz w:val="48"/>
          <w:szCs w:val="48"/>
          <w:lang w:eastAsia="zh-CN"/>
        </w:rPr>
        <w:t>双</w:t>
      </w:r>
      <w:r>
        <w:rPr>
          <w:rFonts w:hint="eastAsia" w:ascii="隶书" w:hAnsi="宋体" w:eastAsia="隶书"/>
          <w:b/>
          <w:color w:val="FF0000"/>
          <w:sz w:val="48"/>
          <w:szCs w:val="48"/>
        </w:rPr>
        <w:t>水乡</w:t>
      </w:r>
      <w:r>
        <w:rPr>
          <w:rFonts w:hint="eastAsia" w:ascii="隶书" w:hAnsi="宋体" w:eastAsia="隶书"/>
          <w:b/>
          <w:color w:val="FF0000"/>
          <w:sz w:val="48"/>
          <w:szCs w:val="48"/>
          <w:lang w:eastAsia="zh-CN"/>
        </w:rPr>
        <w:t>双</w:t>
      </w:r>
      <w:r>
        <w:rPr>
          <w:rFonts w:hint="eastAsia" w:ascii="隶书" w:hAnsi="宋体" w:eastAsia="隶书"/>
          <w:b/>
          <w:color w:val="FF0000"/>
          <w:sz w:val="48"/>
          <w:szCs w:val="48"/>
        </w:rPr>
        <w:t>表演纯玩</w:t>
      </w:r>
      <w:r>
        <w:rPr>
          <w:rFonts w:hint="eastAsia" w:ascii="隶书" w:hAnsi="宋体" w:eastAsia="隶书"/>
          <w:b/>
          <w:color w:val="FF0000"/>
          <w:sz w:val="48"/>
          <w:szCs w:val="48"/>
          <w:lang w:val="en-US" w:eastAsia="zh-CN"/>
        </w:rPr>
        <w:t>5日</w:t>
      </w:r>
      <w:r>
        <w:rPr>
          <w:rFonts w:hint="eastAsia" w:ascii="隶书" w:hAnsi="宋体" w:eastAsia="隶书"/>
          <w:b/>
          <w:color w:val="FF0000"/>
          <w:sz w:val="48"/>
          <w:szCs w:val="48"/>
        </w:rPr>
        <w:t>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ight="344" w:rightChars="164"/>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ight="344" w:rightChars="164"/>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111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4"/>
        <w:gridCol w:w="9015"/>
        <w:gridCol w:w="765"/>
        <w:gridCol w:w="5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82"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9015"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65"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55"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82" w:type="dxa"/>
            <w:gridSpan w:val="2"/>
            <w:vMerge w:val="restart"/>
            <w:vAlign w:val="center"/>
          </w:tcPr>
          <w:p>
            <w:pPr>
              <w:spacing w:line="300" w:lineRule="exact"/>
              <w:ind w:right="-107" w:rightChars="-51" w:firstLine="241" w:firstLineChars="100"/>
              <w:rPr>
                <w:rFonts w:hint="eastAsia" w:ascii="宋体" w:hAnsi="宋体" w:eastAsia="宋体"/>
                <w:b/>
                <w:sz w:val="18"/>
                <w:szCs w:val="18"/>
                <w:lang w:eastAsia="zh-CN"/>
              </w:rPr>
            </w:pPr>
            <w:r>
              <w:rPr>
                <w:rFonts w:hint="eastAsia" w:ascii="宋体" w:hAnsi="宋体"/>
                <w:b/>
                <w:sz w:val="24"/>
                <w:szCs w:val="24"/>
              </w:rPr>
              <w:t>D</w:t>
            </w:r>
            <w:r>
              <w:rPr>
                <w:rFonts w:hint="eastAsia" w:ascii="宋体" w:hAnsi="宋体"/>
                <w:b/>
                <w:sz w:val="24"/>
                <w:szCs w:val="24"/>
                <w:lang w:val="en-US" w:eastAsia="zh-CN"/>
              </w:rPr>
              <w:t>1</w:t>
            </w:r>
          </w:p>
        </w:tc>
        <w:tc>
          <w:tcPr>
            <w:tcW w:w="9015"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成都—南京—扬州</w:t>
            </w:r>
          </w:p>
        </w:tc>
        <w:tc>
          <w:tcPr>
            <w:tcW w:w="765"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55"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82"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color w:val="000000"/>
                <w:sz w:val="21"/>
                <w:szCs w:val="21"/>
                <w:lang w:val="en-US" w:eastAsia="zh-CN"/>
              </w:rPr>
              <w:t>请各位贵宾根据航班时间提前两小时到达机场，我们的工作人员会为你办理好登机手续，后乘飞机前往南京。</w:t>
            </w:r>
            <w:r>
              <w:rPr>
                <w:rFonts w:hint="eastAsia" w:ascii="微软雅黑" w:hAnsi="微软雅黑" w:eastAsia="微软雅黑" w:cs="微软雅黑"/>
                <w:sz w:val="21"/>
                <w:szCs w:val="21"/>
              </w:rPr>
              <w:t>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65"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55"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2"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65"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55"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82"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hint="eastAsia" w:ascii="宋体" w:hAnsi="宋体"/>
                <w:b/>
                <w:sz w:val="24"/>
                <w:szCs w:val="24"/>
              </w:rPr>
              <w:t>D</w:t>
            </w:r>
            <w:r>
              <w:rPr>
                <w:rFonts w:hint="eastAsia" w:ascii="宋体" w:hAnsi="宋体"/>
                <w:b/>
                <w:sz w:val="24"/>
                <w:szCs w:val="24"/>
                <w:lang w:val="en-US" w:eastAsia="zh-CN"/>
              </w:rPr>
              <w:t>2</w:t>
            </w:r>
          </w:p>
        </w:tc>
        <w:tc>
          <w:tcPr>
            <w:tcW w:w="9015"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65"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jc w:val="both"/>
              <w:rPr>
                <w:rFonts w:hint="eastAsia" w:ascii="微软雅黑" w:hAnsi="微软雅黑" w:eastAsia="微软雅黑" w:cs="微软雅黑"/>
                <w:sz w:val="24"/>
                <w:szCs w:val="24"/>
              </w:rPr>
            </w:pPr>
            <w:r>
              <w:rPr>
                <w:rFonts w:hint="eastAsia" w:ascii="微软雅黑" w:hAnsi="微软雅黑" w:eastAsia="微软雅黑" w:cs="微软雅黑"/>
                <w:b/>
                <w:sz w:val="24"/>
                <w:szCs w:val="24"/>
              </w:rPr>
              <w:t>周庄</w:t>
            </w:r>
          </w:p>
        </w:tc>
        <w:tc>
          <w:tcPr>
            <w:tcW w:w="555"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782"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90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65" w:type="dxa"/>
            <w:vMerge w:val="continue"/>
            <w:vAlign w:val="center"/>
          </w:tcPr>
          <w:p>
            <w:pPr>
              <w:spacing w:line="300" w:lineRule="exact"/>
              <w:jc w:val="center"/>
              <w:rPr>
                <w:rFonts w:hint="eastAsia" w:ascii="微软雅黑" w:hAnsi="微软雅黑" w:eastAsia="微软雅黑" w:cs="微软雅黑"/>
                <w:b/>
                <w:sz w:val="24"/>
                <w:szCs w:val="24"/>
              </w:rPr>
            </w:pPr>
          </w:p>
        </w:tc>
        <w:tc>
          <w:tcPr>
            <w:tcW w:w="555"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82"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65" w:type="dxa"/>
            <w:vMerge w:val="continue"/>
            <w:vAlign w:val="center"/>
          </w:tcPr>
          <w:p>
            <w:pPr>
              <w:spacing w:line="300" w:lineRule="exact"/>
              <w:jc w:val="center"/>
              <w:rPr>
                <w:rFonts w:hint="eastAsia" w:ascii="微软雅黑" w:hAnsi="微软雅黑" w:eastAsia="微软雅黑" w:cs="微软雅黑"/>
                <w:b/>
                <w:sz w:val="24"/>
                <w:szCs w:val="24"/>
              </w:rPr>
            </w:pPr>
          </w:p>
        </w:tc>
        <w:tc>
          <w:tcPr>
            <w:tcW w:w="555"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82"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65" w:type="dxa"/>
            <w:vMerge w:val="continue"/>
            <w:vAlign w:val="center"/>
          </w:tcPr>
          <w:p>
            <w:pPr>
              <w:spacing w:line="300" w:lineRule="exact"/>
              <w:jc w:val="center"/>
              <w:rPr>
                <w:rFonts w:hint="eastAsia" w:ascii="微软雅黑" w:hAnsi="微软雅黑" w:eastAsia="微软雅黑" w:cs="微软雅黑"/>
                <w:b/>
                <w:sz w:val="24"/>
                <w:szCs w:val="24"/>
              </w:rPr>
            </w:pPr>
          </w:p>
        </w:tc>
        <w:tc>
          <w:tcPr>
            <w:tcW w:w="555"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782"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3</w:t>
            </w:r>
          </w:p>
        </w:tc>
        <w:tc>
          <w:tcPr>
            <w:tcW w:w="9015"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65"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乌镇</w:t>
            </w:r>
          </w:p>
        </w:tc>
        <w:tc>
          <w:tcPr>
            <w:tcW w:w="555"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782" w:type="dxa"/>
            <w:gridSpan w:val="2"/>
            <w:vMerge w:val="continue"/>
            <w:vAlign w:val="center"/>
          </w:tcPr>
          <w:p>
            <w:pPr>
              <w:spacing w:line="300" w:lineRule="exact"/>
              <w:ind w:left="-107" w:leftChars="-51" w:right="-107" w:rightChars="-51"/>
              <w:jc w:val="center"/>
              <w:rPr>
                <w:rFonts w:ascii="宋体" w:hAnsi="宋体"/>
                <w:b/>
                <w:sz w:val="24"/>
                <w:szCs w:val="24"/>
              </w:rPr>
            </w:pPr>
          </w:p>
        </w:tc>
        <w:tc>
          <w:tcPr>
            <w:tcW w:w="9015"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BUS往杭州，</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65" w:type="dxa"/>
            <w:vMerge w:val="continue"/>
            <w:vAlign w:val="center"/>
          </w:tcPr>
          <w:p>
            <w:pPr>
              <w:spacing w:line="300" w:lineRule="exact"/>
              <w:jc w:val="center"/>
              <w:rPr>
                <w:rFonts w:hint="eastAsia" w:ascii="微软雅黑" w:hAnsi="微软雅黑" w:eastAsia="微软雅黑" w:cs="微软雅黑"/>
                <w:b/>
                <w:sz w:val="24"/>
                <w:szCs w:val="24"/>
              </w:rPr>
            </w:pPr>
          </w:p>
        </w:tc>
        <w:tc>
          <w:tcPr>
            <w:tcW w:w="555"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82"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15"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推荐景点：</w:t>
            </w:r>
            <w:r>
              <w:rPr>
                <w:rFonts w:hint="eastAsia" w:ascii="微软雅黑" w:hAnsi="微软雅黑" w:eastAsia="微软雅黑" w:cs="微软雅黑"/>
                <w:sz w:val="21"/>
                <w:szCs w:val="21"/>
              </w:rPr>
              <w:t>自费</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FF0000"/>
                <w:kern w:val="0"/>
                <w:sz w:val="21"/>
                <w:szCs w:val="21"/>
              </w:rPr>
              <w:t>费用自理</w:t>
            </w:r>
            <w:r>
              <w:rPr>
                <w:rFonts w:hint="eastAsia" w:ascii="微软雅黑" w:hAnsi="微软雅黑" w:eastAsia="微软雅黑" w:cs="微软雅黑"/>
                <w:b/>
                <w:color w:val="FF0000"/>
                <w:kern w:val="0"/>
                <w:sz w:val="21"/>
                <w:szCs w:val="21"/>
                <w:lang w:val="en-US" w:eastAsia="zh-CN"/>
              </w:rPr>
              <w:t>138</w:t>
            </w:r>
            <w:r>
              <w:rPr>
                <w:rFonts w:hint="eastAsia" w:ascii="微软雅黑" w:hAnsi="微软雅黑" w:eastAsia="微软雅黑" w:cs="微软雅黑"/>
                <w:b/>
                <w:color w:val="FF0000"/>
                <w:kern w:val="0"/>
                <w:sz w:val="21"/>
                <w:szCs w:val="21"/>
              </w:rPr>
              <w:t>元/人</w:t>
            </w:r>
            <w:r>
              <w:rPr>
                <w:rFonts w:hint="eastAsia" w:ascii="微软雅黑" w:hAnsi="微软雅黑" w:eastAsia="微软雅黑" w:cs="微软雅黑"/>
                <w:kern w:val="0"/>
                <w:sz w:val="21"/>
                <w:szCs w:val="21"/>
              </w:rPr>
              <w:t>）</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color w:val="000000"/>
                <w:sz w:val="21"/>
                <w:szCs w:val="21"/>
              </w:rPr>
              <w:t>自费欣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w:t>
            </w:r>
            <w:r>
              <w:rPr>
                <w:rFonts w:hint="eastAsia" w:ascii="微软雅黑" w:hAnsi="微软雅黑" w:eastAsia="微软雅黑" w:cs="微软雅黑"/>
                <w:b/>
                <w:color w:val="FF0000"/>
                <w:sz w:val="21"/>
                <w:szCs w:val="21"/>
              </w:rPr>
              <w:t>费用自理320元/人</w:t>
            </w:r>
            <w:r>
              <w:rPr>
                <w:rFonts w:hint="eastAsia" w:ascii="微软雅黑" w:hAnsi="微软雅黑" w:eastAsia="微软雅黑" w:cs="微软雅黑"/>
                <w:color w:val="000000"/>
                <w:sz w:val="21"/>
                <w:szCs w:val="21"/>
              </w:rPr>
              <w:t>，游览时间不少于90分钟）。</w:t>
            </w:r>
          </w:p>
        </w:tc>
        <w:tc>
          <w:tcPr>
            <w:tcW w:w="765" w:type="dxa"/>
            <w:vMerge w:val="continue"/>
            <w:vAlign w:val="center"/>
          </w:tcPr>
          <w:p>
            <w:pPr>
              <w:spacing w:line="300" w:lineRule="exact"/>
              <w:jc w:val="center"/>
              <w:rPr>
                <w:rFonts w:hint="eastAsia" w:ascii="微软雅黑" w:hAnsi="微软雅黑" w:eastAsia="微软雅黑" w:cs="微软雅黑"/>
                <w:b/>
                <w:sz w:val="24"/>
                <w:szCs w:val="24"/>
              </w:rPr>
            </w:pPr>
          </w:p>
        </w:tc>
        <w:tc>
          <w:tcPr>
            <w:tcW w:w="555"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82"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15"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65"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55"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82"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4</w:t>
            </w:r>
          </w:p>
        </w:tc>
        <w:tc>
          <w:tcPr>
            <w:tcW w:w="9015"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65"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55"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782" w:type="dxa"/>
            <w:gridSpan w:val="2"/>
            <w:vMerge w:val="continue"/>
            <w:vAlign w:val="center"/>
          </w:tcPr>
          <w:p>
            <w:pPr>
              <w:spacing w:line="300" w:lineRule="exact"/>
              <w:ind w:left="-107" w:leftChars="-51" w:right="-107" w:rightChars="-51"/>
              <w:jc w:val="center"/>
              <w:rPr>
                <w:rFonts w:ascii="宋体" w:hAnsi="宋体"/>
                <w:b/>
                <w:sz w:val="24"/>
                <w:szCs w:val="24"/>
              </w:rPr>
            </w:pPr>
          </w:p>
        </w:tc>
        <w:tc>
          <w:tcPr>
            <w:tcW w:w="9015"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BUS往上海，自由品尝上海小吃！</w:t>
            </w:r>
          </w:p>
        </w:tc>
        <w:tc>
          <w:tcPr>
            <w:tcW w:w="765" w:type="dxa"/>
            <w:vMerge w:val="continue"/>
            <w:vAlign w:val="center"/>
          </w:tcPr>
          <w:p>
            <w:pPr>
              <w:spacing w:line="300" w:lineRule="exact"/>
              <w:jc w:val="center"/>
              <w:rPr>
                <w:rFonts w:hint="eastAsia" w:ascii="微软雅黑" w:hAnsi="微软雅黑" w:eastAsia="微软雅黑" w:cs="微软雅黑"/>
                <w:b/>
                <w:sz w:val="24"/>
                <w:szCs w:val="24"/>
              </w:rPr>
            </w:pPr>
          </w:p>
        </w:tc>
        <w:tc>
          <w:tcPr>
            <w:tcW w:w="555"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82"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15"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推荐景点：自费夜游东方夜巴黎美景：金茂大厦+船游黄浦江（费用自理300元/人）</w:t>
            </w:r>
            <w:r>
              <w:rPr>
                <w:rFonts w:hint="eastAsia" w:ascii="微软雅黑" w:hAnsi="微软雅黑" w:eastAsia="微软雅黑" w:cs="微软雅黑"/>
                <w:sz w:val="21"/>
                <w:szCs w:val="21"/>
              </w:rPr>
              <w:t>。</w:t>
            </w:r>
          </w:p>
        </w:tc>
        <w:tc>
          <w:tcPr>
            <w:tcW w:w="765" w:type="dxa"/>
            <w:vMerge w:val="continue"/>
            <w:vAlign w:val="center"/>
          </w:tcPr>
          <w:p>
            <w:pPr>
              <w:spacing w:line="300" w:lineRule="exact"/>
              <w:jc w:val="center"/>
              <w:rPr>
                <w:rFonts w:hint="eastAsia" w:ascii="微软雅黑" w:hAnsi="微软雅黑" w:eastAsia="微软雅黑" w:cs="微软雅黑"/>
                <w:b/>
                <w:sz w:val="24"/>
                <w:szCs w:val="24"/>
              </w:rPr>
            </w:pPr>
          </w:p>
        </w:tc>
        <w:tc>
          <w:tcPr>
            <w:tcW w:w="555"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82" w:type="dxa"/>
            <w:gridSpan w:val="2"/>
            <w:vMerge w:val="continue"/>
            <w:vAlign w:val="center"/>
          </w:tcPr>
          <w:p>
            <w:pPr>
              <w:spacing w:line="300" w:lineRule="exact"/>
              <w:ind w:left="-107" w:leftChars="-51" w:right="-107" w:rightChars="-51"/>
              <w:jc w:val="center"/>
              <w:rPr>
                <w:rFonts w:ascii="宋体" w:hAnsi="宋体"/>
                <w:b/>
                <w:sz w:val="18"/>
                <w:szCs w:val="18"/>
              </w:rPr>
            </w:pPr>
          </w:p>
        </w:tc>
        <w:tc>
          <w:tcPr>
            <w:tcW w:w="9015"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65"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55"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782" w:type="dxa"/>
            <w:gridSpan w:val="2"/>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ascii="宋体" w:hAnsi="宋体"/>
                <w:b/>
                <w:sz w:val="24"/>
                <w:szCs w:val="24"/>
              </w:rPr>
              <w:t>D</w:t>
            </w:r>
            <w:r>
              <w:rPr>
                <w:rFonts w:hint="eastAsia" w:ascii="宋体" w:hAnsi="宋体"/>
                <w:b/>
                <w:sz w:val="24"/>
                <w:szCs w:val="24"/>
                <w:lang w:val="en-US" w:eastAsia="zh-CN"/>
              </w:rPr>
              <w:t>5</w:t>
            </w:r>
          </w:p>
        </w:tc>
        <w:tc>
          <w:tcPr>
            <w:tcW w:w="9015"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上海—成都</w:t>
            </w:r>
          </w:p>
        </w:tc>
        <w:tc>
          <w:tcPr>
            <w:tcW w:w="765" w:type="dxa"/>
            <w:vMerge w:val="restart"/>
            <w:vAlign w:val="center"/>
          </w:tcPr>
          <w:p>
            <w:pPr>
              <w:spacing w:line="300" w:lineRule="exact"/>
              <w:rPr>
                <w:rFonts w:hint="eastAsia" w:ascii="微软雅黑" w:hAnsi="微软雅黑" w:eastAsia="微软雅黑" w:cs="微软雅黑"/>
                <w:b/>
                <w:sz w:val="24"/>
                <w:szCs w:val="24"/>
              </w:rPr>
            </w:pPr>
          </w:p>
        </w:tc>
        <w:tc>
          <w:tcPr>
            <w:tcW w:w="555"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6" w:hRule="atLeast"/>
        </w:trPr>
        <w:tc>
          <w:tcPr>
            <w:tcW w:w="782" w:type="dxa"/>
            <w:gridSpan w:val="2"/>
            <w:vMerge w:val="continue"/>
            <w:vAlign w:val="center"/>
          </w:tcPr>
          <w:p>
            <w:pPr>
              <w:spacing w:line="300" w:lineRule="exact"/>
              <w:ind w:left="-107" w:leftChars="-51" w:right="-107" w:rightChars="-51"/>
              <w:jc w:val="center"/>
              <w:rPr>
                <w:rFonts w:ascii="宋体" w:hAnsi="宋体"/>
                <w:b/>
                <w:sz w:val="24"/>
                <w:szCs w:val="24"/>
              </w:rPr>
            </w:pPr>
          </w:p>
        </w:tc>
        <w:tc>
          <w:tcPr>
            <w:tcW w:w="9015" w:type="dxa"/>
            <w:vAlign w:val="center"/>
          </w:tcPr>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r>
              <w:rPr>
                <w:rFonts w:hint="eastAsia" w:ascii="微软雅黑" w:hAnsi="微软雅黑" w:eastAsia="微软雅黑" w:cs="微软雅黑"/>
                <w:sz w:val="21"/>
                <w:szCs w:val="21"/>
              </w:rPr>
              <w:t>结束行程送站。</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2"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numPr>
                <w:ilvl w:val="0"/>
                <w:numId w:val="0"/>
              </w:numPr>
              <w:ind w:leftChars="0"/>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765" w:type="dxa"/>
            <w:vMerge w:val="continue"/>
            <w:vAlign w:val="center"/>
          </w:tcPr>
          <w:p>
            <w:pPr>
              <w:spacing w:line="300" w:lineRule="exact"/>
              <w:rPr>
                <w:rFonts w:ascii="宋体" w:hAnsi="宋体"/>
                <w:b/>
                <w:sz w:val="18"/>
                <w:szCs w:val="18"/>
              </w:rPr>
            </w:pPr>
          </w:p>
        </w:tc>
        <w:tc>
          <w:tcPr>
            <w:tcW w:w="555"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117"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117"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409"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⑴飞机：成都出发往返团队机票（经济舱、机场建设税）；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409" w:type="dxa"/>
            <w:gridSpan w:val="4"/>
            <w:vAlign w:val="center"/>
          </w:tcPr>
          <w:p>
            <w:pPr>
              <w:spacing w:line="300" w:lineRule="exact"/>
              <w:rPr>
                <w:rFonts w:hint="eastAsia" w:ascii="微软雅黑" w:hAnsi="微软雅黑" w:eastAsia="微软雅黑" w:cs="微软雅黑"/>
                <w:b/>
                <w:sz w:val="21"/>
                <w:szCs w:val="21"/>
              </w:rPr>
            </w:pPr>
            <w:r>
              <w:rPr>
                <w:rFonts w:hint="eastAsia" w:ascii="微软雅黑" w:hAnsi="微软雅黑" w:eastAsia="微软雅黑" w:cs="微软雅黑"/>
                <w:color w:val="000000"/>
                <w:sz w:val="21"/>
                <w:szCs w:val="21"/>
              </w:rPr>
              <w:t>2-12岁为儿童，只含往返机票、车位费、导游服务、正餐半餐，</w:t>
            </w:r>
            <w:r>
              <w:rPr>
                <w:rFonts w:hint="eastAsia" w:ascii="微软雅黑" w:hAnsi="微软雅黑" w:eastAsia="微软雅黑" w:cs="微软雅黑"/>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409"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 xml:space="preserve">❺ 出发地道成都双流机场接送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117"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17"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117"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17"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7" w:hRule="atLeast"/>
        </w:trPr>
        <w:tc>
          <w:tcPr>
            <w:tcW w:w="11117" w:type="dxa"/>
            <w:gridSpan w:val="5"/>
            <w:tcBorders>
              <w:bottom w:val="single" w:color="auto" w:sz="6" w:space="0"/>
            </w:tcBorders>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国内旅游合同补充条款（购物补充确认书）</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此次旅游活动中，依据旅游者自身需要和个人意志，自愿、自主决定，在行程时间安排允许、参加人数足够，且不影响其他旅游者行程安排的情况下，旅行社根据本团旅游者实际需要，安排购物店和旅游自费项目（内容如下表），并承诺旅行社全程绝不强制消费，同时除本补充确认中的购物场所和旅游自费项目外，无其他购物店安排（景区内商店除外）。</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1、自费项目明细</w:t>
            </w:r>
          </w:p>
          <w:p>
            <w:pPr>
              <w:snapToGrid w:val="0"/>
              <w:spacing w:line="240" w:lineRule="atLeast"/>
              <w:rPr>
                <w:rFonts w:hint="eastAsia" w:ascii="微软雅黑" w:hAnsi="微软雅黑" w:eastAsia="微软雅黑" w:cs="微软雅黑"/>
                <w:color w:val="000000"/>
                <w:sz w:val="21"/>
                <w:szCs w:val="21"/>
              </w:rPr>
            </w:pPr>
          </w:p>
          <w:tbl>
            <w:tblPr>
              <w:tblStyle w:val="6"/>
              <w:tblW w:w="8385" w:type="dxa"/>
              <w:tblInd w:w="1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0"/>
              <w:gridCol w:w="2010"/>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84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自费项目明细</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价格</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84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21"/>
                      <w:szCs w:val="21"/>
                      <w:lang w:val="en-US" w:eastAsia="zh-CN"/>
                    </w:rPr>
                    <w:t>江南古游船</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138</w:t>
                  </w:r>
                  <w:bookmarkStart w:id="0" w:name="_GoBack"/>
                  <w:bookmarkEnd w:id="0"/>
                  <w:r>
                    <w:rPr>
                      <w:rFonts w:hint="eastAsia" w:ascii="微软雅黑" w:hAnsi="微软雅黑" w:eastAsia="微软雅黑" w:cs="微软雅黑"/>
                      <w:color w:val="000000"/>
                      <w:sz w:val="21"/>
                      <w:szCs w:val="21"/>
                    </w:rPr>
                    <w:t>元/人</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384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宋城千古情表演+杭州宋城主题乐园</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320元/人</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384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eastAsia="zh-CN"/>
                    </w:rPr>
                    <w:t>金茂大厦</w:t>
                  </w:r>
                  <w:r>
                    <w:rPr>
                      <w:rFonts w:hint="eastAsia" w:ascii="微软雅黑" w:hAnsi="微软雅黑" w:eastAsia="微软雅黑" w:cs="微软雅黑"/>
                      <w:color w:val="000000"/>
                      <w:sz w:val="21"/>
                      <w:szCs w:val="21"/>
                    </w:rPr>
                    <w:t>+船游黄浦江</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300</w:t>
                  </w:r>
                  <w:r>
                    <w:rPr>
                      <w:rFonts w:hint="eastAsia" w:ascii="微软雅黑" w:hAnsi="微软雅黑" w:eastAsia="微软雅黑" w:cs="微软雅黑"/>
                      <w:color w:val="000000"/>
                      <w:sz w:val="21"/>
                      <w:szCs w:val="21"/>
                    </w:rPr>
                    <w:t>元/人</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bl>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2、以上陈述推荐项目仅适用本行程，其他消费行为旅行社可以协助办理，但不承担任何责任。</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3、本人已详细阅读并充分理解以上所有内容，并愿意在友好、平等、自愿的情况下确认：</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ab/>
            </w:r>
            <w:r>
              <w:rPr>
                <w:rFonts w:hint="eastAsia" w:ascii="微软雅黑" w:hAnsi="微软雅黑" w:eastAsia="微软雅黑" w:cs="微软雅黑"/>
                <w:color w:val="000000"/>
                <w:sz w:val="21"/>
                <w:szCs w:val="21"/>
              </w:rPr>
              <w:t xml:space="preserve"> 旅行社已就上述购物场所和自费项目的特色、旅游者自愿消费事宜及相关风险对我进行了全面的告知、提醒。我经慎重考虑后，自愿前往上述购物场所或自费项目进行购买商品或参观游览，旅行社并无强迫。我承诺将按照导游提醒办理相关消费事宜，并遵循旅行社的提示理性消费、注意自身人身财产安全等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旅游者（签字）：                                 旅行社（签字/盖章）：                   </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日期：                                          日期：                                </w:t>
            </w:r>
          </w:p>
          <w:p>
            <w:pPr>
              <w:numPr>
                <w:ilvl w:val="0"/>
                <w:numId w:val="0"/>
              </w:numPr>
              <w:ind w:left="-10" w:leftChars="0" w:right="-90" w:rightChars="0"/>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提示：如旅游者不同意参加自费项目不应签署本协议，请选择其他旅游产品！</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Cambria">
    <w:panose1 w:val="02040503050406030204"/>
    <w:charset w:val="00"/>
    <w:family w:val="roman"/>
    <w:pitch w:val="default"/>
    <w:sig w:usb0="A00002EF" w:usb1="4000004B" w:usb2="00000000" w:usb3="00000000" w:csb0="2000009F" w:csb1="00000000"/>
  </w:font>
  <w:font w:name="隶书">
    <w:altName w:val="宋体"/>
    <w:panose1 w:val="0201050906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altName w:val="宋体"/>
    <w:panose1 w:val="02010609060101010101"/>
    <w:charset w:val="86"/>
    <w:family w:val="modern"/>
    <w:pitch w:val="default"/>
    <w:sig w:usb0="00000000" w:usb1="00000000"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006FFB"/>
    <w:rsid w:val="06505759"/>
    <w:rsid w:val="0B692A45"/>
    <w:rsid w:val="0E4A6BAC"/>
    <w:rsid w:val="0F9F1F0B"/>
    <w:rsid w:val="101D3E32"/>
    <w:rsid w:val="118229E0"/>
    <w:rsid w:val="11A92509"/>
    <w:rsid w:val="1368730C"/>
    <w:rsid w:val="167558FD"/>
    <w:rsid w:val="16873EF2"/>
    <w:rsid w:val="18140C0A"/>
    <w:rsid w:val="18291C02"/>
    <w:rsid w:val="198630BF"/>
    <w:rsid w:val="1A2B5495"/>
    <w:rsid w:val="1A310E71"/>
    <w:rsid w:val="1B842F03"/>
    <w:rsid w:val="1E3C64AA"/>
    <w:rsid w:val="1F54201C"/>
    <w:rsid w:val="1F6479EC"/>
    <w:rsid w:val="21FD4D1D"/>
    <w:rsid w:val="22F32A9B"/>
    <w:rsid w:val="26A939D8"/>
    <w:rsid w:val="27CF55D4"/>
    <w:rsid w:val="284F79A0"/>
    <w:rsid w:val="2AAA6967"/>
    <w:rsid w:val="2FA93F39"/>
    <w:rsid w:val="3412216A"/>
    <w:rsid w:val="342D5CF4"/>
    <w:rsid w:val="359C5D3B"/>
    <w:rsid w:val="361255F6"/>
    <w:rsid w:val="396A0084"/>
    <w:rsid w:val="397B5E00"/>
    <w:rsid w:val="399E64EE"/>
    <w:rsid w:val="3AE32E3F"/>
    <w:rsid w:val="3BBC0C9A"/>
    <w:rsid w:val="3E4B44B7"/>
    <w:rsid w:val="3F057EA6"/>
    <w:rsid w:val="402D2CF0"/>
    <w:rsid w:val="424A7CF2"/>
    <w:rsid w:val="430E219D"/>
    <w:rsid w:val="431158E1"/>
    <w:rsid w:val="458C010A"/>
    <w:rsid w:val="47381E78"/>
    <w:rsid w:val="47905AA1"/>
    <w:rsid w:val="47D12D55"/>
    <w:rsid w:val="49E22BDA"/>
    <w:rsid w:val="4BC55774"/>
    <w:rsid w:val="4C3E1001"/>
    <w:rsid w:val="4DD5310D"/>
    <w:rsid w:val="503A533C"/>
    <w:rsid w:val="514164D3"/>
    <w:rsid w:val="522A6373"/>
    <w:rsid w:val="533856C3"/>
    <w:rsid w:val="563D62A5"/>
    <w:rsid w:val="5686299B"/>
    <w:rsid w:val="56E14A13"/>
    <w:rsid w:val="5C5D40D0"/>
    <w:rsid w:val="5F216E70"/>
    <w:rsid w:val="5F39000A"/>
    <w:rsid w:val="5FA07074"/>
    <w:rsid w:val="603E2853"/>
    <w:rsid w:val="60937D48"/>
    <w:rsid w:val="60DC6131"/>
    <w:rsid w:val="61183A27"/>
    <w:rsid w:val="617F0E27"/>
    <w:rsid w:val="62A31C9A"/>
    <w:rsid w:val="62CA43A0"/>
    <w:rsid w:val="645E13D8"/>
    <w:rsid w:val="696E249F"/>
    <w:rsid w:val="69AA0DFC"/>
    <w:rsid w:val="6B85411C"/>
    <w:rsid w:val="6D6D2F04"/>
    <w:rsid w:val="6FE609FD"/>
    <w:rsid w:val="705C73D8"/>
    <w:rsid w:val="70BC7831"/>
    <w:rsid w:val="71B16C93"/>
    <w:rsid w:val="750E7DBF"/>
    <w:rsid w:val="77826E34"/>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695</Words>
  <Characters>3966</Characters>
  <Lines>33</Lines>
  <Paragraphs>9</Paragraphs>
  <TotalTime>2</TotalTime>
  <ScaleCrop>false</ScaleCrop>
  <LinksUpToDate>false</LinksUpToDate>
  <CharactersWithSpaces>4652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青旅总部阿宝</cp:lastModifiedBy>
  <dcterms:modified xsi:type="dcterms:W3CDTF">2021-04-26T02:57:02Z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