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181"/>
        <w:gridCol w:w="1583"/>
        <w:gridCol w:w="1336"/>
      </w:tblGrid>
      <w:tr w14:paraId="4F07DD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08E0AAE7">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52"/>
                <w:szCs w:val="52"/>
              </w:rPr>
              <w:t>悦游江西</w:t>
            </w:r>
          </w:p>
        </w:tc>
      </w:tr>
      <w:tr w14:paraId="1D4A64C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05B27036">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w:t>
            </w:r>
            <w:r>
              <w:rPr>
                <w:rFonts w:hint="eastAsia" w:ascii="微软雅黑" w:hAnsi="微软雅黑" w:eastAsia="微软雅黑" w:cs="微软雅黑"/>
                <w:bCs/>
                <w:color w:val="C00000"/>
                <w:sz w:val="44"/>
                <w:szCs w:val="44"/>
                <w:lang w:eastAsia="zh-CN"/>
              </w:rPr>
              <w:t>石钟山</w:t>
            </w:r>
            <w:r>
              <w:rPr>
                <w:rFonts w:ascii="微软雅黑" w:hAnsi="微软雅黑" w:eastAsia="微软雅黑" w:cs="微软雅黑"/>
                <w:bCs/>
                <w:color w:val="C00000"/>
                <w:sz w:val="44"/>
                <w:szCs w:val="44"/>
              </w:rPr>
              <w:t>·景德镇·婺源·篁岭·精品</w:t>
            </w:r>
            <w:r>
              <w:rPr>
                <w:rFonts w:hint="eastAsia" w:ascii="微软雅黑" w:hAnsi="微软雅黑" w:eastAsia="微软雅黑" w:cs="微软雅黑"/>
                <w:bCs/>
                <w:color w:val="C00000"/>
                <w:sz w:val="44"/>
                <w:szCs w:val="44"/>
                <w:lang w:val="en-US" w:eastAsia="zh-CN"/>
              </w:rPr>
              <w:t>5</w:t>
            </w:r>
            <w:r>
              <w:rPr>
                <w:rFonts w:ascii="微软雅黑" w:hAnsi="微软雅黑" w:eastAsia="微软雅黑" w:cs="微软雅黑"/>
                <w:bCs/>
                <w:color w:val="C00000"/>
                <w:sz w:val="44"/>
                <w:szCs w:val="44"/>
              </w:rPr>
              <w:t>日游</w:t>
            </w:r>
          </w:p>
        </w:tc>
      </w:tr>
      <w:tr w14:paraId="416D720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04AB638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77FA9F0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06DAB5C">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Day1：</w:t>
            </w:r>
            <w:r>
              <w:rPr>
                <w:rFonts w:hint="eastAsia" w:ascii="微软雅黑" w:hAnsi="微软雅黑" w:eastAsia="微软雅黑" w:cs="微软雅黑"/>
                <w:color w:val="000000"/>
                <w:kern w:val="0"/>
                <w:sz w:val="22"/>
                <w:szCs w:val="22"/>
                <w:shd w:val="clear" w:color="auto" w:fill="FFFFFF"/>
                <w:lang w:val="en-US" w:eastAsia="zh-CN" w:bidi="ar"/>
              </w:rPr>
              <w:t>成都动车赴南昌</w:t>
            </w:r>
          </w:p>
        </w:tc>
        <w:tc>
          <w:tcPr>
            <w:tcW w:w="1553" w:type="dxa"/>
            <w:shd w:val="clear" w:color="auto" w:fill="auto"/>
            <w:noWrap w:val="0"/>
            <w:vAlign w:val="center"/>
          </w:tcPr>
          <w:p w14:paraId="59037674">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不含餐</w:t>
            </w:r>
          </w:p>
        </w:tc>
        <w:tc>
          <w:tcPr>
            <w:tcW w:w="1291" w:type="dxa"/>
            <w:shd w:val="clear" w:color="auto" w:fill="auto"/>
            <w:noWrap w:val="0"/>
            <w:vAlign w:val="center"/>
          </w:tcPr>
          <w:p w14:paraId="66699017">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79D7073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3AD86704">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庐山（游览：美庐</w:t>
            </w:r>
            <w:r>
              <w:rPr>
                <w:rFonts w:hint="eastAsia" w:ascii="微软雅黑" w:hAnsi="微软雅黑" w:eastAsia="微软雅黑" w:cs="微软雅黑"/>
                <w:color w:val="000000"/>
                <w:sz w:val="22"/>
                <w:szCs w:val="22"/>
              </w:rPr>
              <w:t>、含鄱口、</w:t>
            </w:r>
            <w:r>
              <w:rPr>
                <w:rFonts w:hint="eastAsia" w:ascii="微软雅黑" w:hAnsi="微软雅黑" w:eastAsia="微软雅黑" w:cs="微软雅黑"/>
                <w:color w:val="000000"/>
                <w:sz w:val="22"/>
                <w:szCs w:val="22"/>
                <w:lang w:eastAsia="zh-CN"/>
              </w:rPr>
              <w:t>大口瀑布、如琴湖、花径、锦绣谷</w:t>
            </w:r>
            <w:r>
              <w:rPr>
                <w:rFonts w:hint="eastAsia" w:ascii="微软雅黑" w:hAnsi="微软雅黑" w:eastAsia="微软雅黑" w:cs="微软雅黑"/>
                <w:color w:val="000000"/>
                <w:sz w:val="22"/>
                <w:szCs w:val="22"/>
              </w:rPr>
              <w:t>）</w:t>
            </w:r>
          </w:p>
        </w:tc>
        <w:tc>
          <w:tcPr>
            <w:tcW w:w="1553" w:type="dxa"/>
            <w:shd w:val="clear" w:color="auto" w:fill="auto"/>
            <w:noWrap w:val="0"/>
            <w:vAlign w:val="center"/>
          </w:tcPr>
          <w:p w14:paraId="113A284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含-中-晚</w:t>
            </w:r>
          </w:p>
        </w:tc>
        <w:tc>
          <w:tcPr>
            <w:tcW w:w="1291" w:type="dxa"/>
            <w:shd w:val="clear" w:color="auto" w:fill="auto"/>
            <w:noWrap w:val="0"/>
            <w:vAlign w:val="center"/>
          </w:tcPr>
          <w:p w14:paraId="65474DD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庐山</w:t>
            </w:r>
          </w:p>
        </w:tc>
      </w:tr>
      <w:tr w14:paraId="27D5305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4CE5EC6">
            <w:pPr>
              <w:keepNext w:val="0"/>
              <w:keepLines w:val="0"/>
              <w:widowControl/>
              <w:suppressLineNumbers w:val="0"/>
              <w:spacing w:before="0" w:beforeAutospacing="0" w:after="0" w:afterAutospacing="0" w:line="0" w:lineRule="atLeast"/>
              <w:ind w:left="0" w:right="0"/>
              <w:jc w:val="left"/>
              <w:rPr>
                <w:rFonts w:hint="eastAsia" w:ascii="微软雅黑" w:hAnsi="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w:t>
            </w:r>
            <w:r>
              <w:rPr>
                <w:rFonts w:hint="eastAsia" w:ascii="微软雅黑" w:hAnsi="微软雅黑" w:eastAsia="微软雅黑" w:cs="微软雅黑"/>
                <w:color w:val="000000"/>
                <w:kern w:val="0"/>
                <w:sz w:val="22"/>
                <w:szCs w:val="22"/>
                <w:shd w:val="clear" w:color="auto" w:fill="FFFFFF"/>
                <w:lang w:val="en-US" w:eastAsia="zh-CN" w:bidi="ar"/>
              </w:rPr>
              <w:t>-石钟山-</w:t>
            </w:r>
            <w:r>
              <w:rPr>
                <w:rFonts w:hint="eastAsia" w:ascii="微软雅黑" w:hAnsi="微软雅黑" w:eastAsia="微软雅黑" w:cs="微软雅黑"/>
                <w:color w:val="000000"/>
                <w:kern w:val="0"/>
                <w:sz w:val="22"/>
                <w:szCs w:val="22"/>
                <w:shd w:val="clear" w:color="auto" w:fill="FFFFFF"/>
                <w:lang w:bidi="ar"/>
              </w:rPr>
              <w:t>景德镇</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婺源（游览：</w:t>
            </w:r>
            <w:r>
              <w:rPr>
                <w:rFonts w:hint="eastAsia" w:ascii="微软雅黑" w:hAnsi="微软雅黑" w:eastAsia="微软雅黑" w:cs="微软雅黑"/>
                <w:color w:val="000000"/>
                <w:kern w:val="0"/>
                <w:sz w:val="22"/>
                <w:szCs w:val="22"/>
                <w:shd w:val="clear" w:color="auto" w:fill="FFFFFF"/>
                <w:lang w:eastAsia="zh-CN"/>
              </w:rPr>
              <w:t>石钟山、景德镇、婺女洲</w:t>
            </w:r>
            <w:r>
              <w:rPr>
                <w:rFonts w:hint="eastAsia" w:ascii="微软雅黑" w:hAnsi="微软雅黑" w:eastAsia="微软雅黑" w:cs="微软雅黑"/>
                <w:color w:val="000000"/>
                <w:kern w:val="0"/>
                <w:sz w:val="22"/>
                <w:szCs w:val="22"/>
                <w:shd w:val="clear" w:color="auto" w:fill="FFFFFF"/>
                <w:lang w:bidi="ar"/>
              </w:rPr>
              <w:t>）</w:t>
            </w:r>
          </w:p>
        </w:tc>
        <w:tc>
          <w:tcPr>
            <w:tcW w:w="1553" w:type="dxa"/>
            <w:noWrap w:val="0"/>
            <w:vAlign w:val="center"/>
          </w:tcPr>
          <w:p w14:paraId="134FD1F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含-早-晚</w:t>
            </w:r>
          </w:p>
        </w:tc>
        <w:tc>
          <w:tcPr>
            <w:tcW w:w="1291" w:type="dxa"/>
            <w:noWrap w:val="0"/>
            <w:vAlign w:val="center"/>
          </w:tcPr>
          <w:p w14:paraId="385FB68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婺源</w:t>
            </w:r>
          </w:p>
        </w:tc>
      </w:tr>
      <w:tr w14:paraId="0BB0B7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C14D005">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婺源-南昌（游览：篁岭）</w:t>
            </w:r>
          </w:p>
        </w:tc>
        <w:tc>
          <w:tcPr>
            <w:tcW w:w="1553" w:type="dxa"/>
            <w:noWrap w:val="0"/>
            <w:vAlign w:val="center"/>
          </w:tcPr>
          <w:p w14:paraId="09E7400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w:t>
            </w:r>
          </w:p>
        </w:tc>
        <w:tc>
          <w:tcPr>
            <w:tcW w:w="1291" w:type="dxa"/>
            <w:noWrap w:val="0"/>
            <w:vAlign w:val="center"/>
          </w:tcPr>
          <w:p w14:paraId="0E11813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3026DA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CC1237D">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Day5：</w:t>
            </w:r>
            <w:r>
              <w:rPr>
                <w:rFonts w:hint="eastAsia" w:ascii="微软雅黑" w:hAnsi="微软雅黑" w:eastAsia="微软雅黑" w:cs="微软雅黑"/>
                <w:color w:val="000000"/>
                <w:kern w:val="0"/>
                <w:sz w:val="22"/>
                <w:szCs w:val="22"/>
                <w:shd w:val="clear" w:color="auto" w:fill="FFFFFF"/>
                <w:lang w:val="en-US" w:eastAsia="zh-CN" w:bidi="ar"/>
              </w:rPr>
              <w:t>南昌送站返程</w:t>
            </w:r>
          </w:p>
        </w:tc>
        <w:tc>
          <w:tcPr>
            <w:tcW w:w="1553" w:type="dxa"/>
            <w:shd w:val="clear" w:color="auto" w:fill="auto"/>
            <w:noWrap w:val="0"/>
            <w:vAlign w:val="center"/>
          </w:tcPr>
          <w:p w14:paraId="3556815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含-早</w:t>
            </w:r>
          </w:p>
        </w:tc>
        <w:tc>
          <w:tcPr>
            <w:tcW w:w="1291" w:type="dxa"/>
            <w:shd w:val="clear" w:color="auto" w:fill="auto"/>
            <w:noWrap w:val="0"/>
            <w:vAlign w:val="center"/>
          </w:tcPr>
          <w:p w14:paraId="66C7E379">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微软雅黑"/>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zCs w:val="24"/>
                <w:shd w:val="clear" w:color="auto" w:fill="FFFFFF"/>
                <w:lang w:val="en-US" w:eastAsia="zh-CN" w:bidi="ar-SA"/>
              </w:rPr>
              <w:t>无</w:t>
            </w:r>
          </w:p>
        </w:tc>
      </w:tr>
      <w:tr w14:paraId="427B2CE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7B64DDE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7332418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257F1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▷【悦游江西】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赏江西名山大川，领略赣鄱美景！悦享超值精品游</w:t>
            </w:r>
          </w:p>
          <w:p w14:paraId="1B84B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lang w:val="en-US" w:eastAsia="zh-CN"/>
              </w:rPr>
            </w:pPr>
            <w:r>
              <w:rPr>
                <w:rFonts w:hint="eastAsia" w:ascii="微软雅黑" w:hAnsi="微软雅黑" w:eastAsia="微软雅黑" w:cs="微软雅黑"/>
                <w:b/>
                <w:iCs/>
                <w:color w:val="C00000"/>
                <w:sz w:val="24"/>
                <w:shd w:val="clear" w:color="auto" w:fill="FFFFFF"/>
              </w:rPr>
              <w:t>▷【精华景观】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p>
          <w:p w14:paraId="73D70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品尝江西特色餐：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CA9D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▷【舒心之旅】</w:t>
            </w:r>
            <w:r>
              <w:rPr>
                <w:rFonts w:hint="eastAsia" w:ascii="微软雅黑" w:hAnsi="微软雅黑" w:eastAsia="微软雅黑" w:cs="微软雅黑"/>
                <w:b w:val="0"/>
                <w:bCs/>
                <w:iCs/>
                <w:color w:val="C00000"/>
                <w:sz w:val="24"/>
                <w:shd w:val="clear" w:color="auto" w:fill="FFFFFF"/>
              </w:rPr>
              <w:t>—</w:t>
            </w:r>
            <w:r>
              <w:rPr>
                <w:rFonts w:hint="eastAsia" w:ascii="微软雅黑" w:hAnsi="微软雅黑" w:eastAsia="微软雅黑" w:cs="微软雅黑"/>
                <w:b w:val="0"/>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6D506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景区，无购物纯玩！</w:t>
            </w:r>
          </w:p>
        </w:tc>
      </w:tr>
    </w:tbl>
    <w:p w14:paraId="000698B4">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55"/>
        <w:gridCol w:w="30"/>
        <w:gridCol w:w="105"/>
      </w:tblGrid>
      <w:tr w14:paraId="24C9172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7AC99318">
            <w:pPr>
              <w:keepNext w:val="0"/>
              <w:keepLines w:val="0"/>
              <w:widowControl/>
              <w:suppressLineNumbers w:val="0"/>
              <w:spacing w:before="0" w:beforeAutospacing="0" w:after="0" w:afterAutospacing="0" w:line="0" w:lineRule="atLeast"/>
              <w:ind w:left="0" w:leftChars="0" w:right="0" w:rightChars="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3F35BE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4200CD5D">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zh-CN"/>
              </w:rPr>
              <w:t>成都东站乘动车赴南昌，抵达后，接站入住酒店休息。</w:t>
            </w:r>
          </w:p>
        </w:tc>
      </w:tr>
      <w:tr w14:paraId="167C445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4C6AB2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 xml:space="preserve">天：南昌-庐山（车程约2.5小时）   </w:t>
            </w:r>
          </w:p>
        </w:tc>
      </w:tr>
      <w:tr w14:paraId="215AA68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533" w:hRule="atLeast"/>
          <w:tblCellSpacing w:w="15" w:type="dxa"/>
        </w:trPr>
        <w:tc>
          <w:tcPr>
            <w:tcW w:w="11025" w:type="dxa"/>
            <w:gridSpan w:val="5"/>
            <w:noWrap w:val="0"/>
            <w:vAlign w:val="center"/>
          </w:tcPr>
          <w:p w14:paraId="0A54EE53">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en-US" w:eastAsia="zh-CN"/>
              </w:rPr>
              <w:t>（客人自理景区交通光车费用90元/人）</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b/>
                <w:bCs/>
                <w:sz w:val="24"/>
                <w:szCs w:val="24"/>
                <w:lang w:val="en-US" w:eastAsia="zh-CN"/>
              </w:rPr>
              <w:t>【庐山会议旧址】</w:t>
            </w:r>
            <w:r>
              <w:rPr>
                <w:rFonts w:hint="eastAsia" w:ascii="微软雅黑" w:hAnsi="微软雅黑" w:eastAsia="微软雅黑" w:cs="微软雅黑"/>
                <w:sz w:val="24"/>
                <w:szCs w:val="24"/>
                <w:lang w:val="en-US" w:eastAsia="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en-US" w:eastAsia="zh-CN"/>
              </w:rPr>
              <w:t>【含鄱口】</w:t>
            </w:r>
            <w:r>
              <w:rPr>
                <w:rFonts w:hint="eastAsia" w:ascii="微软雅黑" w:hAnsi="微软雅黑" w:eastAsia="微软雅黑" w:cs="微软雅黑"/>
                <w:sz w:val="24"/>
                <w:szCs w:val="24"/>
                <w:lang w:val="en-US" w:eastAsia="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en-US" w:eastAsia="zh-CN"/>
              </w:rPr>
              <w:t>【五老峰】</w:t>
            </w:r>
            <w:r>
              <w:rPr>
                <w:rFonts w:hint="eastAsia" w:ascii="微软雅黑" w:hAnsi="微软雅黑" w:eastAsia="微软雅黑" w:cs="微软雅黑"/>
                <w:sz w:val="24"/>
                <w:szCs w:val="24"/>
                <w:lang w:val="en-US" w:eastAsia="zh-CN"/>
              </w:rPr>
              <w:t>，李白曾有诗赞曰：“庐山东南五老峰，青天削出金芙蓉。九江秀色可揽结，吾将此地巢云松。参观</w:t>
            </w:r>
            <w:r>
              <w:rPr>
                <w:rFonts w:hint="eastAsia" w:ascii="微软雅黑" w:hAnsi="微软雅黑" w:eastAsia="微软雅黑" w:cs="微软雅黑"/>
                <w:b/>
                <w:bCs/>
                <w:sz w:val="24"/>
                <w:szCs w:val="24"/>
                <w:lang w:val="en-US" w:eastAsia="zh-CN"/>
              </w:rPr>
              <w:t>【庐山瀑布】</w:t>
            </w:r>
            <w:r>
              <w:rPr>
                <w:rFonts w:hint="eastAsia" w:ascii="微软雅黑" w:hAnsi="微软雅黑" w:eastAsia="微软雅黑" w:cs="微软雅黑"/>
                <w:sz w:val="24"/>
                <w:szCs w:val="24"/>
                <w:lang w:val="en-US" w:eastAsia="zh-CN"/>
              </w:rPr>
              <w:t>（大口景区）（往返缆车自理50元/人），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sz w:val="24"/>
                <w:szCs w:val="24"/>
                <w:lang w:val="en-US" w:eastAsia="zh-CN"/>
              </w:rPr>
              <w:t>游览形如提琴的--</w:t>
            </w:r>
            <w:r>
              <w:rPr>
                <w:rFonts w:hint="eastAsia" w:ascii="微软雅黑" w:hAnsi="微软雅黑" w:eastAsia="微软雅黑" w:cs="微软雅黑"/>
                <w:b/>
                <w:bCs/>
                <w:sz w:val="24"/>
                <w:szCs w:val="24"/>
                <w:lang w:val="en-US" w:eastAsia="zh-CN"/>
              </w:rPr>
              <w:t>【如琴湖】</w:t>
            </w:r>
            <w:r>
              <w:rPr>
                <w:rFonts w:hint="eastAsia" w:ascii="微软雅黑" w:hAnsi="微软雅黑" w:eastAsia="微软雅黑" w:cs="微软雅黑"/>
                <w:sz w:val="24"/>
                <w:szCs w:val="24"/>
                <w:lang w:val="en-US" w:eastAsia="zh-CN"/>
              </w:rPr>
              <w:t>，唐代诗人白居易咏诗《大林寺桃花》中“人间四月芳菲尽，山寺桃花始盛开”的地方--</w:t>
            </w:r>
            <w:r>
              <w:rPr>
                <w:rFonts w:hint="eastAsia" w:ascii="微软雅黑" w:hAnsi="微软雅黑" w:eastAsia="微软雅黑" w:cs="微软雅黑"/>
                <w:b/>
                <w:bCs/>
                <w:sz w:val="24"/>
                <w:szCs w:val="24"/>
                <w:lang w:val="en-US" w:eastAsia="zh-CN"/>
              </w:rPr>
              <w:t>【花径】、【白居易草堂】</w:t>
            </w:r>
            <w:r>
              <w:rPr>
                <w:rFonts w:hint="eastAsia" w:ascii="微软雅黑" w:hAnsi="微软雅黑" w:eastAsia="微软雅黑" w:cs="微软雅黑"/>
                <w:sz w:val="24"/>
                <w:szCs w:val="24"/>
                <w:lang w:val="en-US" w:eastAsia="zh-CN"/>
              </w:rPr>
              <w:t>，相传天降金龙化作虹桥助朱元璋兵马脱险的--</w:t>
            </w:r>
            <w:r>
              <w:rPr>
                <w:rFonts w:hint="eastAsia" w:ascii="微软雅黑" w:hAnsi="微软雅黑" w:eastAsia="微软雅黑" w:cs="微软雅黑"/>
                <w:b/>
                <w:bCs/>
                <w:sz w:val="24"/>
                <w:szCs w:val="24"/>
                <w:lang w:val="en-US" w:eastAsia="zh-CN"/>
              </w:rPr>
              <w:t>【天桥】</w:t>
            </w:r>
            <w:r>
              <w:rPr>
                <w:rFonts w:hint="eastAsia" w:ascii="微软雅黑" w:hAnsi="微软雅黑" w:eastAsia="微软雅黑" w:cs="微软雅黑"/>
                <w:sz w:val="24"/>
                <w:szCs w:val="24"/>
                <w:lang w:val="en-US" w:eastAsia="zh-CN"/>
              </w:rPr>
              <w:t>，晋代东方名僧慧远采撷花卉、草药处，四季如春、犹如锦绣的--</w:t>
            </w:r>
            <w:r>
              <w:rPr>
                <w:rFonts w:hint="eastAsia" w:ascii="微软雅黑" w:hAnsi="微软雅黑" w:eastAsia="微软雅黑" w:cs="微软雅黑"/>
                <w:b/>
                <w:bCs/>
                <w:sz w:val="24"/>
                <w:szCs w:val="24"/>
                <w:lang w:val="en-US" w:eastAsia="zh-CN"/>
              </w:rPr>
              <w:t>【锦绣谷】，【观妙亭】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谈判台】</w:t>
            </w:r>
            <w:r>
              <w:rPr>
                <w:rFonts w:hint="eastAsia" w:ascii="微软雅黑" w:hAnsi="微软雅黑" w:eastAsia="微软雅黑" w:cs="微软雅黑"/>
                <w:sz w:val="24"/>
                <w:szCs w:val="24"/>
                <w:lang w:val="en-US" w:eastAsia="zh-CN"/>
              </w:rPr>
              <w:t>，自然风化天生石洞，洞顶为参差如手指的岩石覆盖，形似佛手，又名“佛手岩”的--</w:t>
            </w:r>
            <w:r>
              <w:rPr>
                <w:rFonts w:hint="eastAsia" w:ascii="微软雅黑" w:hAnsi="微软雅黑" w:eastAsia="微软雅黑" w:cs="微软雅黑"/>
                <w:b/>
                <w:bCs/>
                <w:sz w:val="24"/>
                <w:szCs w:val="24"/>
                <w:lang w:val="en-US" w:eastAsia="zh-CN"/>
              </w:rPr>
              <w:t>【仙人洞】</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【险峰】</w:t>
            </w:r>
            <w:r>
              <w:rPr>
                <w:rFonts w:hint="eastAsia" w:ascii="微软雅黑" w:hAnsi="微软雅黑" w:eastAsia="微软雅黑" w:cs="微软雅黑"/>
                <w:sz w:val="24"/>
                <w:szCs w:val="24"/>
                <w:lang w:val="en-US" w:eastAsia="zh-CN"/>
              </w:rPr>
              <w:t>，明朝皇帝朱元璋所建刻着朱皇帝亲自撰写的《周颠仙人传》和《四仙诗》--</w:t>
            </w:r>
            <w:r>
              <w:rPr>
                <w:rFonts w:hint="eastAsia" w:ascii="微软雅黑" w:hAnsi="微软雅黑" w:eastAsia="微软雅黑" w:cs="微软雅黑"/>
                <w:b/>
                <w:bCs/>
                <w:sz w:val="24"/>
                <w:szCs w:val="24"/>
                <w:lang w:val="en-US" w:eastAsia="zh-CN"/>
              </w:rPr>
              <w:t>【御碑亭】</w:t>
            </w:r>
            <w:r>
              <w:rPr>
                <w:rFonts w:hint="eastAsia" w:ascii="微软雅黑" w:hAnsi="微软雅黑" w:eastAsia="微软雅黑" w:cs="微软雅黑"/>
                <w:sz w:val="24"/>
                <w:szCs w:val="24"/>
                <w:lang w:val="en-US" w:eastAsia="zh-CN"/>
              </w:rPr>
              <w:t xml:space="preserve">（全程游览时间约2小时）后入住酒店。  </w:t>
            </w:r>
          </w:p>
          <w:p w14:paraId="3476E198">
            <w:pPr>
              <w:pStyle w:val="3"/>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val="en-US"/>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28C699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33E9A44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111"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1"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7F3A9650">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127"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40" w:type="dxa"/>
            <w:gridSpan w:val="2"/>
            <w:noWrap w:val="0"/>
            <w:vAlign w:val="center"/>
          </w:tcPr>
          <w:p w14:paraId="62C3A79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13535"/>
                  <wp:effectExtent l="0" t="0" r="12700" b="5715"/>
                  <wp:docPr id="3" name="图片 1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3" descr="图片1"/>
                          <pic:cNvPicPr>
                            <a:picLocks noChangeAspect="1"/>
                          </pic:cNvPicPr>
                        </pic:nvPicPr>
                        <pic:blipFill>
                          <a:blip r:embed="rId6"/>
                          <a:stretch>
                            <a:fillRect/>
                          </a:stretch>
                        </pic:blipFill>
                        <pic:spPr>
                          <a:xfrm>
                            <a:off x="0" y="0"/>
                            <a:ext cx="2273300" cy="1613535"/>
                          </a:xfrm>
                          <a:prstGeom prst="rect">
                            <a:avLst/>
                          </a:prstGeom>
                          <a:noFill/>
                          <a:ln>
                            <a:noFill/>
                          </a:ln>
                        </pic:spPr>
                      </pic:pic>
                    </a:graphicData>
                  </a:graphic>
                </wp:inline>
              </w:drawing>
            </w:r>
          </w:p>
        </w:tc>
      </w:tr>
      <w:tr w14:paraId="562377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49B3D3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57F73BF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5055" w:hRule="atLeast"/>
          <w:tblCellSpacing w:w="15" w:type="dxa"/>
        </w:trPr>
        <w:tc>
          <w:tcPr>
            <w:tcW w:w="11025" w:type="dxa"/>
            <w:gridSpan w:val="5"/>
            <w:noWrap w:val="0"/>
            <w:vAlign w:val="center"/>
          </w:tcPr>
          <w:p w14:paraId="41C329A2">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），鄱湖接近长江处，二水相交奇景生；澈液浑流互排斥，浊清界线见分明。江、湖水的汇合处，水线分明，以截然不同的水色“划”出了一条奇妙的界线。</w:t>
            </w:r>
          </w:p>
          <w:p w14:paraId="1C5567DE">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16E62371">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5A5626C3">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婺女洲</w:t>
            </w:r>
            <w:r>
              <w:rPr>
                <w:rFonts w:hint="eastAsia" w:ascii="微软雅黑" w:hAnsi="微软雅黑" w:eastAsia="微软雅黑" w:cs="微软雅黑"/>
                <w:sz w:val="24"/>
                <w:szCs w:val="24"/>
                <w:lang w:val="zh-CN" w:eastAsia="zh-CN"/>
              </w:rPr>
              <w:t>】（游览时间约</w:t>
            </w:r>
            <w:r>
              <w:rPr>
                <w:rFonts w:hint="eastAsia" w:ascii="微软雅黑" w:hAnsi="微软雅黑" w:eastAsia="微软雅黑" w:cs="微软雅黑"/>
                <w:sz w:val="24"/>
                <w:szCs w:val="24"/>
                <w:lang w:val="en-US" w:eastAsia="zh-CN"/>
              </w:rPr>
              <w:t>2小时</w:t>
            </w:r>
            <w:r>
              <w:rPr>
                <w:rFonts w:hint="eastAsia" w:ascii="微软雅黑" w:hAnsi="微软雅黑" w:eastAsia="微软雅黑" w:cs="微软雅黑"/>
                <w:sz w:val="24"/>
                <w:szCs w:val="24"/>
                <w:lang w:val="zh-CN" w:eastAsia="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eastAsia="zh-CN"/>
              </w:rPr>
              <w:t>【乘坐摇橹船】</w:t>
            </w:r>
            <w:r>
              <w:rPr>
                <w:rFonts w:hint="eastAsia" w:ascii="微软雅黑" w:hAnsi="微软雅黑" w:eastAsia="微软雅黑" w:cs="微软雅黑"/>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eastAsia="zh-CN"/>
              </w:rPr>
              <w:t>《遇见·婺源》</w:t>
            </w:r>
            <w:r>
              <w:rPr>
                <w:rFonts w:hint="eastAsia" w:ascii="微软雅黑" w:hAnsi="微软雅黑" w:eastAsia="微软雅黑" w:cs="微软雅黑"/>
                <w:sz w:val="24"/>
                <w:szCs w:val="24"/>
                <w:lang w:val="zh-CN" w:eastAsia="zh-CN"/>
              </w:rPr>
              <w:t>，感受精彩绝伦的文化盛宴，以婺女飞天为题材背景，运用写意的戏剧手法，光影与实景相结合，描绘出一幅波澜壮阔的盛大画卷。夜间还有奇幻抱玉塔Mapping秀《天工开物》，以五显财神起源及故事为核心元素的祈福文化水幕光影秀</w:t>
            </w:r>
            <w:r>
              <w:rPr>
                <w:rFonts w:hint="eastAsia" w:ascii="微软雅黑" w:hAnsi="微软雅黑" w:eastAsia="微软雅黑" w:cs="微软雅黑"/>
                <w:b/>
                <w:bCs/>
                <w:sz w:val="24"/>
                <w:szCs w:val="24"/>
                <w:lang w:val="zh-CN" w:eastAsia="zh-CN"/>
              </w:rPr>
              <w:t>《五显金光》</w:t>
            </w:r>
            <w:r>
              <w:rPr>
                <w:rFonts w:hint="eastAsia" w:ascii="微软雅黑" w:hAnsi="微软雅黑" w:eastAsia="微软雅黑" w:cs="微软雅黑"/>
                <w:sz w:val="24"/>
                <w:szCs w:val="24"/>
                <w:lang w:val="zh-CN" w:eastAsia="zh-CN"/>
              </w:rPr>
              <w:t>，古徽州独特的戏曲大戏等精彩演艺。徽市街上，一步一景，十余处游览文化场馆隐藏其中，厚重的古徽州文化在这里得以传承。</w:t>
            </w:r>
          </w:p>
          <w:p w14:paraId="39558C6C">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后入住酒店。</w:t>
            </w:r>
          </w:p>
          <w:p w14:paraId="3C86A7AC">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05CD59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663" w:hRule="atLeast"/>
          <w:tblCellSpacing w:w="15" w:type="dxa"/>
        </w:trPr>
        <w:tc>
          <w:tcPr>
            <w:tcW w:w="3655" w:type="dxa"/>
            <w:gridSpan w:val="2"/>
            <w:noWrap w:val="0"/>
            <w:vAlign w:val="center"/>
          </w:tcPr>
          <w:p w14:paraId="5699C75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2350" cy="1632585"/>
                  <wp:effectExtent l="0" t="0" r="12700" b="5715"/>
                  <wp:docPr id="4" name="图片 10"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庐山芦林湖"/>
                          <pic:cNvPicPr>
                            <a:picLocks noChangeAspect="1"/>
                          </pic:cNvPicPr>
                        </pic:nvPicPr>
                        <pic:blipFill>
                          <a:blip r:embed="rId7"/>
                          <a:stretch>
                            <a:fillRect/>
                          </a:stretch>
                        </pic:blipFill>
                        <pic:spPr>
                          <a:xfrm>
                            <a:off x="0" y="0"/>
                            <a:ext cx="2292350" cy="1632585"/>
                          </a:xfrm>
                          <a:prstGeom prst="rect">
                            <a:avLst/>
                          </a:prstGeom>
                          <a:noFill/>
                          <a:ln>
                            <a:noFill/>
                          </a:ln>
                        </pic:spPr>
                      </pic:pic>
                    </a:graphicData>
                  </a:graphic>
                </wp:inline>
              </w:drawing>
            </w:r>
          </w:p>
        </w:tc>
        <w:tc>
          <w:tcPr>
            <w:tcW w:w="3670" w:type="dxa"/>
            <w:noWrap w:val="0"/>
            <w:vAlign w:val="center"/>
          </w:tcPr>
          <w:p w14:paraId="5A9A542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5680" cy="1623695"/>
                  <wp:effectExtent l="0" t="0" r="1270" b="14605"/>
                  <wp:docPr id="5" name="图片 119"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9" descr="石钟山1"/>
                          <pic:cNvPicPr>
                            <a:picLocks noChangeAspect="1"/>
                          </pic:cNvPicPr>
                        </pic:nvPicPr>
                        <pic:blipFill>
                          <a:blip r:embed="rId8"/>
                          <a:stretch>
                            <a:fillRect/>
                          </a:stretch>
                        </pic:blipFill>
                        <pic:spPr>
                          <a:xfrm>
                            <a:off x="0" y="0"/>
                            <a:ext cx="2265680" cy="1623695"/>
                          </a:xfrm>
                          <a:prstGeom prst="rect">
                            <a:avLst/>
                          </a:prstGeom>
                          <a:noFill/>
                          <a:ln>
                            <a:noFill/>
                          </a:ln>
                        </pic:spPr>
                      </pic:pic>
                    </a:graphicData>
                  </a:graphic>
                </wp:inline>
              </w:drawing>
            </w:r>
          </w:p>
        </w:tc>
        <w:tc>
          <w:tcPr>
            <w:tcW w:w="3640" w:type="dxa"/>
            <w:gridSpan w:val="2"/>
            <w:noWrap w:val="0"/>
            <w:vAlign w:val="center"/>
          </w:tcPr>
          <w:p w14:paraId="3E29B8C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9490" cy="1638935"/>
                  <wp:effectExtent l="0" t="0" r="16510" b="18415"/>
                  <wp:docPr id="6" name="图片 130" descr="167532769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0" descr="1675327697530"/>
                          <pic:cNvPicPr>
                            <a:picLocks noChangeAspect="1"/>
                          </pic:cNvPicPr>
                        </pic:nvPicPr>
                        <pic:blipFill>
                          <a:blip r:embed="rId9"/>
                          <a:stretch>
                            <a:fillRect/>
                          </a:stretch>
                        </pic:blipFill>
                        <pic:spPr>
                          <a:xfrm>
                            <a:off x="0" y="0"/>
                            <a:ext cx="2269490" cy="1638935"/>
                          </a:xfrm>
                          <a:prstGeom prst="rect">
                            <a:avLst/>
                          </a:prstGeom>
                          <a:noFill/>
                          <a:ln>
                            <a:noFill/>
                          </a:ln>
                        </pic:spPr>
                      </pic:pic>
                    </a:graphicData>
                  </a:graphic>
                </wp:inline>
              </w:drawing>
            </w:r>
          </w:p>
        </w:tc>
      </w:tr>
      <w:tr w14:paraId="26425D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72D7ED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45B83B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176" w:hRule="atLeast"/>
          <w:tblCellSpacing w:w="15" w:type="dxa"/>
        </w:trPr>
        <w:tc>
          <w:tcPr>
            <w:tcW w:w="11025" w:type="dxa"/>
            <w:gridSpan w:val="5"/>
            <w:noWrap w:val="0"/>
            <w:vAlign w:val="center"/>
          </w:tcPr>
          <w:p w14:paraId="73CD1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sz w:val="24"/>
                <w:szCs w:val="24"/>
                <w:lang w:val="zh-CN"/>
              </w:rPr>
              <w:t>早餐后游览</w:t>
            </w:r>
            <w:r>
              <w:rPr>
                <w:rFonts w:hint="eastAsia" w:ascii="微软雅黑" w:hAnsi="微软雅黑" w:eastAsia="微软雅黑" w:cs="微软雅黑"/>
                <w:b/>
                <w:bCs/>
                <w:sz w:val="24"/>
                <w:szCs w:val="24"/>
                <w:lang w:val="zh-CN"/>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薄雾轻烟，那漫山遍野的油菜花，层层叠叠的梯田，配上灰瓦白墙的徽派建筑，山水间飘渺的朦胧薄雾，便是一幅水墨春天</w:t>
            </w:r>
            <w:r>
              <w:rPr>
                <w:rFonts w:hint="eastAsia" w:ascii="微软雅黑" w:hAnsi="微软雅黑" w:eastAsia="微软雅黑" w:cs="微软雅黑"/>
                <w:b w:val="0"/>
                <w:bCs/>
                <w:sz w:val="24"/>
                <w:szCs w:val="24"/>
                <w:lang w:val="zh-CN" w:eastAsia="zh-CN"/>
              </w:rPr>
              <w:t>。</w:t>
            </w:r>
          </w:p>
          <w:p w14:paraId="2EA41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bCs w:val="0"/>
                <w:color w:val="0000FF"/>
                <w:sz w:val="24"/>
                <w:szCs w:val="24"/>
                <w:lang w:val="zh-CN" w:eastAsia="zh-CN"/>
              </w:rPr>
            </w:pPr>
            <w:r>
              <w:rPr>
                <w:rFonts w:hint="eastAsia" w:ascii="微软雅黑" w:hAnsi="微软雅黑" w:eastAsia="微软雅黑" w:cs="微软雅黑"/>
                <w:b w:val="0"/>
                <w:bCs/>
                <w:sz w:val="24"/>
                <w:szCs w:val="24"/>
                <w:lang w:val="zh-CN" w:eastAsia="zh-CN"/>
              </w:rPr>
              <w:t>后指定时间车返南昌</w:t>
            </w:r>
            <w:r>
              <w:rPr>
                <w:rFonts w:hint="eastAsia" w:ascii="微软雅黑" w:hAnsi="微软雅黑" w:eastAsia="微软雅黑" w:cs="微软雅黑"/>
                <w:b/>
                <w:bCs w:val="0"/>
                <w:color w:val="0000FF"/>
                <w:sz w:val="24"/>
                <w:szCs w:val="24"/>
                <w:lang w:val="zh-CN" w:eastAsia="zh-CN"/>
              </w:rPr>
              <w:t>（根据实际情况安排车或买动车票返南昌，导游不陪同）。</w:t>
            </w:r>
          </w:p>
          <w:p w14:paraId="73857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1892D2B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59E2823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7" name="图片 122" descr="E:/直客图片制作/各地图片/江西/JPEG/篁岭/篁岭图片 (5).jpg篁岭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2" descr="E:/直客图片制作/各地图片/江西/JPEG/篁岭/篁岭图片 (5).jpg篁岭图片 (5)"/>
                          <pic:cNvPicPr>
                            <a:picLocks noChangeAspect="1"/>
                          </pic:cNvPicPr>
                        </pic:nvPicPr>
                        <pic:blipFill>
                          <a:blip r:embed="rId10"/>
                          <a:srcRect t="1503" b="1503"/>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9C28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8" name="图片 125" descr="E:/直客图片制作/各地图片/江西/JPEG/篁岭/篁岭图片.jpg篁岭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5" descr="E:/直客图片制作/各地图片/江西/JPEG/篁岭/篁岭图片.jpg篁岭图片"/>
                          <pic:cNvPicPr>
                            <a:picLocks noChangeAspect="1"/>
                          </pic:cNvPicPr>
                        </pic:nvPicPr>
                        <pic:blipFill>
                          <a:blip r:embed="rId11"/>
                          <a:srcRect l="3446" r="3446"/>
                          <a:stretch>
                            <a:fillRect/>
                          </a:stretch>
                        </pic:blipFill>
                        <pic:spPr>
                          <a:xfrm>
                            <a:off x="0" y="0"/>
                            <a:ext cx="2291080" cy="1640205"/>
                          </a:xfrm>
                          <a:prstGeom prst="rect">
                            <a:avLst/>
                          </a:prstGeom>
                          <a:noFill/>
                          <a:ln>
                            <a:noFill/>
                          </a:ln>
                        </pic:spPr>
                      </pic:pic>
                    </a:graphicData>
                  </a:graphic>
                </wp:inline>
              </w:drawing>
            </w:r>
          </w:p>
        </w:tc>
        <w:tc>
          <w:tcPr>
            <w:tcW w:w="3640" w:type="dxa"/>
            <w:gridSpan w:val="2"/>
            <w:noWrap w:val="0"/>
            <w:vAlign w:val="center"/>
          </w:tcPr>
          <w:p w14:paraId="24A5F97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9" name="图片 121"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晒秋6"/>
                          <pic:cNvPicPr>
                            <a:picLocks noChangeAspect="1"/>
                          </pic:cNvPicPr>
                        </pic:nvPicPr>
                        <pic:blipFill>
                          <a:blip r:embed="rId12"/>
                          <a:stretch>
                            <a:fillRect/>
                          </a:stretch>
                        </pic:blipFill>
                        <pic:spPr>
                          <a:xfrm>
                            <a:off x="0" y="0"/>
                            <a:ext cx="2267585" cy="1652905"/>
                          </a:xfrm>
                          <a:prstGeom prst="rect">
                            <a:avLst/>
                          </a:prstGeom>
                          <a:noFill/>
                          <a:ln>
                            <a:noFill/>
                          </a:ln>
                        </pic:spPr>
                      </pic:pic>
                    </a:graphicData>
                  </a:graphic>
                </wp:inline>
              </w:drawing>
            </w:r>
          </w:p>
        </w:tc>
      </w:tr>
      <w:tr w14:paraId="4F10B44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6E8AE61C">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2"/>
                <w:szCs w:val="22"/>
                <w:shd w:val="clear" w:color="auto" w:fill="FF6F0F"/>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32E477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39376525">
            <w:pPr>
              <w:keepNext w:val="0"/>
              <w:keepLines w:val="0"/>
              <w:suppressLineNumbers w:val="0"/>
              <w:spacing w:before="0" w:beforeAutospacing="0" w:after="0" w:afterAutospacing="0" w:line="400" w:lineRule="exact"/>
              <w:ind w:left="0" w:leftChars="0" w:right="0" w:rightChars="0"/>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0AA13C3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06294E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r>
              <w:rPr>
                <w:rFonts w:hint="eastAsia" w:ascii="微软雅黑" w:hAnsi="微软雅黑" w:eastAsia="微软雅黑" w:cs="微软雅黑"/>
                <w:b/>
                <w:bCs/>
                <w:color w:val="FFFFFF"/>
                <w:kern w:val="0"/>
                <w:sz w:val="22"/>
                <w:szCs w:val="22"/>
                <w:highlight w:val="darkGreen"/>
                <w:u w:val="single"/>
                <w:shd w:val="clear" w:color="auto" w:fill="79BA1C"/>
                <w:lang w:bidi="ar"/>
              </w:rPr>
              <w:cr/>
            </w:r>
          </w:p>
        </w:tc>
      </w:tr>
      <w:tr w14:paraId="3E73395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74922A7B">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动车 】</w:t>
            </w:r>
          </w:p>
        </w:tc>
        <w:tc>
          <w:tcPr>
            <w:tcW w:w="9392" w:type="dxa"/>
            <w:gridSpan w:val="3"/>
            <w:shd w:val="clear" w:color="auto" w:fill="auto"/>
            <w:noWrap w:val="0"/>
            <w:vAlign w:val="center"/>
          </w:tcPr>
          <w:p w14:paraId="3C186A2F">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lang w:val="en-US" w:eastAsia="zh-CN"/>
              </w:rPr>
              <w:t>成都出发赴南昌的往返动车二等座 ,(动车时刻以出团通知为准)</w:t>
            </w:r>
          </w:p>
        </w:tc>
      </w:tr>
      <w:tr w14:paraId="11E532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0DE19F5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 住 宿 】</w:t>
            </w:r>
          </w:p>
        </w:tc>
        <w:tc>
          <w:tcPr>
            <w:tcW w:w="9392" w:type="dxa"/>
            <w:gridSpan w:val="3"/>
            <w:shd w:val="clear" w:color="auto" w:fill="auto"/>
            <w:noWrap w:val="0"/>
            <w:vAlign w:val="center"/>
          </w:tcPr>
          <w:p w14:paraId="4974D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rPr>
              <w:t>全程</w:t>
            </w: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晚酒店住宿；（庐山景区酒店无一次性洗漱用品，敬靖自带，庐山</w:t>
            </w:r>
            <w:r>
              <w:rPr>
                <w:rFonts w:hint="eastAsia" w:ascii="微软雅黑" w:hAnsi="微软雅黑" w:eastAsia="微软雅黑" w:cs="Times New Roman"/>
                <w:sz w:val="22"/>
                <w:szCs w:val="22"/>
                <w:lang w:eastAsia="zh-CN"/>
              </w:rPr>
              <w:t>赠送</w:t>
            </w:r>
            <w:r>
              <w:rPr>
                <w:rFonts w:hint="eastAsia" w:ascii="微软雅黑" w:hAnsi="微软雅黑" w:eastAsia="微软雅黑" w:cs="Times New Roman"/>
                <w:sz w:val="22"/>
                <w:szCs w:val="22"/>
              </w:rPr>
              <w:t>空调），若出现单人或单男单女时，需补房差元/人,如酒店有三人房或加床，则不需补房差；</w:t>
            </w:r>
          </w:p>
        </w:tc>
      </w:tr>
      <w:tr w14:paraId="5E2EFCA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95A4D4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92" w:type="dxa"/>
            <w:gridSpan w:val="3"/>
            <w:noWrap w:val="0"/>
            <w:vAlign w:val="center"/>
          </w:tcPr>
          <w:p w14:paraId="3C280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行程所列景区首道大门票；（自理项目除外）、赠送景点不去不退且任何证件不享受优惠；</w:t>
            </w:r>
          </w:p>
        </w:tc>
      </w:tr>
      <w:tr w14:paraId="60FB68C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A793FE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92" w:type="dxa"/>
            <w:gridSpan w:val="3"/>
            <w:noWrap w:val="0"/>
            <w:vAlign w:val="center"/>
          </w:tcPr>
          <w:p w14:paraId="35952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Times New Roman"/>
                <w:b/>
                <w:bCs/>
                <w:sz w:val="22"/>
                <w:szCs w:val="22"/>
                <w:lang w:eastAsia="zh-CN"/>
              </w:rPr>
            </w:pP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 xml:space="preserve">早4正餐 （正餐30元/人正,10人一桌8菜1汤，若人数不足10人,则减少菜的数量或调整菜单；如不用餐餐费不退）如成团人数不足8人餐费退还客人不做团餐；如因游客原因不吃团餐不退餐费 </w:t>
            </w:r>
            <w:r>
              <w:rPr>
                <w:rFonts w:hint="eastAsia" w:ascii="微软雅黑" w:hAnsi="微软雅黑" w:eastAsia="微软雅黑" w:cs="Times New Roman"/>
                <w:sz w:val="22"/>
                <w:szCs w:val="22"/>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,庐山婺源酒店均为用晚餐送早餐，如不在酒店吃晚餐则早餐自理</w:t>
            </w:r>
            <w:r>
              <w:rPr>
                <w:rFonts w:hint="eastAsia" w:ascii="微软雅黑" w:hAnsi="微软雅黑" w:eastAsia="微软雅黑" w:cs="微软雅黑"/>
                <w:b w:val="0"/>
                <w:bCs w:val="0"/>
                <w:color w:val="auto"/>
                <w:kern w:val="0"/>
                <w:sz w:val="21"/>
                <w:szCs w:val="21"/>
                <w:u w:val="none"/>
                <w:lang w:val="zh-CN" w:eastAsia="zh-CN" w:bidi="zh-CN"/>
              </w:rPr>
              <w:t>）</w:t>
            </w:r>
          </w:p>
        </w:tc>
      </w:tr>
      <w:tr w14:paraId="4B2BF7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9B31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92" w:type="dxa"/>
            <w:gridSpan w:val="3"/>
            <w:noWrap w:val="0"/>
            <w:vAlign w:val="center"/>
          </w:tcPr>
          <w:p w14:paraId="2402F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空调旅游大巴；客运资质齐全，确保一人一正座。</w:t>
            </w:r>
          </w:p>
        </w:tc>
      </w:tr>
      <w:tr w14:paraId="69A6D2B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A425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92" w:type="dxa"/>
            <w:gridSpan w:val="3"/>
            <w:noWrap w:val="0"/>
            <w:vAlign w:val="center"/>
          </w:tcPr>
          <w:p w14:paraId="6FA716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专职持有国家导游资格证3年以上导游；带队讲解服务。</w:t>
            </w:r>
          </w:p>
        </w:tc>
      </w:tr>
      <w:tr w14:paraId="70E20C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99430B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92" w:type="dxa"/>
            <w:gridSpan w:val="3"/>
            <w:noWrap w:val="0"/>
            <w:vAlign w:val="center"/>
          </w:tcPr>
          <w:p w14:paraId="08FA5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含旅行社责任险，建议购买个人旅游意外险。</w:t>
            </w:r>
          </w:p>
        </w:tc>
      </w:tr>
      <w:tr w14:paraId="0EE0E0C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3384BED4">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24AA13F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4EC4F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92" w:type="dxa"/>
            <w:gridSpan w:val="3"/>
            <w:noWrap w:val="0"/>
            <w:vAlign w:val="center"/>
          </w:tcPr>
          <w:p w14:paraId="11395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w:t>
            </w:r>
          </w:p>
        </w:tc>
      </w:tr>
      <w:tr w14:paraId="66638A4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216CB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92" w:type="dxa"/>
            <w:gridSpan w:val="3"/>
            <w:noWrap w:val="0"/>
            <w:vAlign w:val="center"/>
          </w:tcPr>
          <w:p w14:paraId="30EC1C40">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lang w:val="zh-CN"/>
              </w:rPr>
            </w:pPr>
            <w:r>
              <w:rPr>
                <w:rFonts w:hint="eastAsia" w:ascii="微软雅黑" w:hAnsi="微软雅黑" w:eastAsia="微软雅黑" w:cs="微软雅黑"/>
                <w:b/>
                <w:bCs/>
                <w:sz w:val="22"/>
                <w:szCs w:val="22"/>
                <w:lang w:val="zh-CN"/>
              </w:rPr>
              <w:t>自费项目自愿消费</w:t>
            </w:r>
          </w:p>
          <w:p w14:paraId="32ED0D7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highlight w:val="yellow"/>
                <w:lang w:val="en-US" w:eastAsia="zh-CN"/>
              </w:rPr>
            </w:pP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b w:val="0"/>
                <w:bCs w:val="0"/>
                <w:sz w:val="22"/>
                <w:szCs w:val="22"/>
                <w:lang w:val="zh-CN"/>
              </w:rPr>
              <w:t>婺女洲门票+《遇见▪婺源》山水实景演出+星空花海艺术馆</w:t>
            </w:r>
            <w:r>
              <w:rPr>
                <w:rFonts w:hint="eastAsia" w:ascii="微软雅黑" w:hAnsi="微软雅黑" w:eastAsia="微软雅黑" w:cs="微软雅黑"/>
                <w:b w:val="0"/>
                <w:bCs w:val="0"/>
                <w:sz w:val="22"/>
                <w:szCs w:val="22"/>
                <w:lang w:val="en-US" w:eastAsia="zh-CN"/>
              </w:rPr>
              <w:t>+</w:t>
            </w:r>
            <w:r>
              <w:rPr>
                <w:rFonts w:hint="eastAsia" w:ascii="微软雅黑" w:hAnsi="微软雅黑" w:eastAsia="微软雅黑" w:cs="微软雅黑"/>
                <w:b w:val="0"/>
                <w:bCs w:val="0"/>
                <w:sz w:val="22"/>
                <w:szCs w:val="22"/>
                <w:lang w:val="zh-CN"/>
              </w:rPr>
              <w:t>婺女洲摇橹船（单程）+升级住婺女洲景区内</w:t>
            </w:r>
            <w:r>
              <w:rPr>
                <w:rFonts w:hint="eastAsia" w:ascii="微软雅黑" w:hAnsi="微软雅黑" w:eastAsia="微软雅黑" w:cs="微软雅黑"/>
                <w:b w:val="0"/>
                <w:bCs w:val="0"/>
                <w:sz w:val="22"/>
                <w:szCs w:val="22"/>
                <w:lang w:val="en-US" w:eastAsia="zh-CN"/>
              </w:rPr>
              <w:t>+鄱阳湖</w:t>
            </w:r>
            <w:r>
              <w:rPr>
                <w:rFonts w:hint="eastAsia" w:ascii="微软雅黑" w:hAnsi="微软雅黑" w:eastAsia="微软雅黑" w:cs="微软雅黑"/>
                <w:b w:val="0"/>
                <w:bCs w:val="0"/>
                <w:sz w:val="22"/>
                <w:szCs w:val="22"/>
                <w:lang w:val="zh-CN"/>
              </w:rPr>
              <w:t>全鱼宴+车费+司机导游服务费=</w:t>
            </w:r>
            <w:r>
              <w:rPr>
                <w:rFonts w:hint="eastAsia" w:ascii="微软雅黑" w:hAnsi="微软雅黑" w:eastAsia="微软雅黑" w:cs="微软雅黑"/>
                <w:b w:val="0"/>
                <w:bCs w:val="0"/>
                <w:sz w:val="22"/>
                <w:szCs w:val="22"/>
                <w:lang w:val="en-US" w:eastAsia="zh-CN"/>
              </w:rPr>
              <w:t>348</w:t>
            </w:r>
            <w:r>
              <w:rPr>
                <w:rFonts w:hint="eastAsia" w:ascii="微软雅黑" w:hAnsi="微软雅黑" w:eastAsia="微软雅黑" w:cs="微软雅黑"/>
                <w:b w:val="0"/>
                <w:bCs w:val="0"/>
                <w:sz w:val="22"/>
                <w:szCs w:val="22"/>
                <w:lang w:val="zh-CN"/>
              </w:rPr>
              <w:t>元/人</w:t>
            </w:r>
          </w:p>
          <w:p w14:paraId="21D2C771">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zh-CN"/>
              </w:rPr>
              <w:t>套餐备注：小孩：1.1米以下收100/人，</w:t>
            </w:r>
            <w:r>
              <w:rPr>
                <w:rFonts w:hint="eastAsia" w:ascii="微软雅黑" w:hAnsi="微软雅黑" w:eastAsia="微软雅黑" w:cs="微软雅黑"/>
                <w:b/>
                <w:color w:val="C00000"/>
                <w:sz w:val="22"/>
                <w:szCs w:val="22"/>
                <w:lang w:val="zh-CN"/>
              </w:rPr>
              <w:t>因此套餐为特价优惠打包价，任何证件不享受优惠，敬请谅解！</w:t>
            </w:r>
          </w:p>
        </w:tc>
      </w:tr>
      <w:tr w14:paraId="1ACF1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555947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92" w:type="dxa"/>
            <w:gridSpan w:val="3"/>
            <w:noWrap w:val="0"/>
            <w:vAlign w:val="center"/>
          </w:tcPr>
          <w:p w14:paraId="6F443F9B">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除行程所列提供项目之外的其他消费，个人购物消费等；</w:t>
            </w:r>
          </w:p>
          <w:p w14:paraId="06F51729">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bidi="ar"/>
              </w:rPr>
              <w:t>不含行李物品托管或超重费；</w:t>
            </w:r>
          </w:p>
          <w:p w14:paraId="30115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3、自由活动期间交通费、餐费、等私人费用。</w:t>
            </w:r>
          </w:p>
          <w:p w14:paraId="645C3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4、行程中未提到包含的其它费用：如景区内二道门票、观光车、电瓶车、索道、租赁等费用。</w:t>
            </w:r>
          </w:p>
          <w:p w14:paraId="171110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5、不提供自然单间，产生单房差或加床费用自理。酒店入住的匙牌押金，非免费餐饮费、洗衣、电话、饮料、烟酒、付费电视、行李搬运等费用。</w:t>
            </w:r>
          </w:p>
          <w:p w14:paraId="1F23B0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6、客人自选个人消费项目，及“旅游费用包含”内容以外的所有费用；</w:t>
            </w:r>
          </w:p>
          <w:p w14:paraId="7BEA9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7、儿童的“旅游费用包含”内容以外的所有费用。例如产生超高餐费、门票等需客人另付！</w:t>
            </w:r>
          </w:p>
          <w:p w14:paraId="75EFC5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8、因交通延误、取消等意外事件或不可抗力原因导致的额外费用，及个人所产生的费用等。</w:t>
            </w:r>
          </w:p>
          <w:p w14:paraId="4117A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9、航空保险、旅游意外保险；因旅游者违约、自身过错、自身疾病，导致的人身财产损失而额外支付的费用。</w:t>
            </w:r>
          </w:p>
          <w:p w14:paraId="7C4BF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10、因旅游者违约、自身过错、自身疾病导致的人身财产损失而额外支付的费用；</w:t>
            </w:r>
          </w:p>
        </w:tc>
      </w:tr>
      <w:tr w14:paraId="0F13C1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1EF93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1EFF268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21227A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92" w:type="dxa"/>
            <w:gridSpan w:val="3"/>
            <w:noWrap w:val="0"/>
            <w:vAlign w:val="center"/>
          </w:tcPr>
          <w:p w14:paraId="17B0899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r>
              <w:rPr>
                <w:rFonts w:hint="eastAsia" w:ascii="微软雅黑" w:hAnsi="微软雅黑" w:eastAsia="微软雅黑" w:cs="Times New Roman"/>
                <w:b w:val="0"/>
                <w:bCs/>
                <w:color w:val="000000"/>
                <w:sz w:val="21"/>
                <w:szCs w:val="21"/>
                <w:lang w:val="en-US" w:eastAsia="zh-CN"/>
              </w:rPr>
              <w:t>等</w:t>
            </w:r>
          </w:p>
        </w:tc>
      </w:tr>
      <w:tr w14:paraId="073FA32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4ADC28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92" w:type="dxa"/>
            <w:gridSpan w:val="3"/>
            <w:noWrap w:val="0"/>
            <w:vAlign w:val="center"/>
          </w:tcPr>
          <w:p w14:paraId="418ECFEF">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茶博府公馆、沁庐精品酒店</w:t>
            </w:r>
            <w:r>
              <w:rPr>
                <w:rFonts w:hint="eastAsia" w:ascii="微软雅黑" w:hAnsi="微软雅黑" w:eastAsia="微软雅黑" w:cs="Times New Roman"/>
                <w:b w:val="0"/>
                <w:bCs/>
                <w:color w:val="000000"/>
                <w:sz w:val="21"/>
                <w:szCs w:val="21"/>
                <w:lang w:val="en-US" w:eastAsia="zh-CN"/>
              </w:rPr>
              <w:t>、星江湾精选等</w:t>
            </w:r>
          </w:p>
        </w:tc>
      </w:tr>
      <w:tr w14:paraId="3A81685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shd w:val="clear" w:color="auto" w:fill="auto"/>
            <w:noWrap w:val="0"/>
            <w:vAlign w:val="center"/>
          </w:tcPr>
          <w:p w14:paraId="5477115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【南昌地区】</w:t>
            </w:r>
          </w:p>
        </w:tc>
        <w:tc>
          <w:tcPr>
            <w:tcW w:w="9392" w:type="dxa"/>
            <w:gridSpan w:val="3"/>
            <w:shd w:val="clear" w:color="auto" w:fill="auto"/>
            <w:noWrap w:val="0"/>
            <w:vAlign w:val="center"/>
          </w:tcPr>
          <w:p w14:paraId="2F4AFA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kern w:val="0"/>
                <w:sz w:val="21"/>
                <w:szCs w:val="21"/>
                <w:lang w:val="en-US"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中森国际、中森逸林、中青国际、美天美国贸酒店、格雷斯精选、维也纳智好酒店（井冈山大道店）、越家国际酒店、云林山水、锦怡大酒店、宜尚等</w:t>
            </w:r>
          </w:p>
        </w:tc>
      </w:tr>
      <w:tr w14:paraId="3F0FE46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14:paraId="65C91B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如遇参考酒店因旺季等因素酒店房满，则安排入住同标准酒店。</w:t>
            </w:r>
          </w:p>
        </w:tc>
      </w:tr>
      <w:tr w14:paraId="2DCED6D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88D320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08A6120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215AAE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【小童费用】</w:t>
            </w:r>
          </w:p>
        </w:tc>
        <w:tc>
          <w:tcPr>
            <w:tcW w:w="9392" w:type="dxa"/>
            <w:gridSpan w:val="3"/>
            <w:noWrap w:val="0"/>
            <w:vAlign w:val="center"/>
          </w:tcPr>
          <w:p w14:paraId="1FB99D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w:t>
            </w:r>
          </w:p>
          <w:p w14:paraId="03DC85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w:t>
            </w:r>
          </w:p>
        </w:tc>
      </w:tr>
      <w:tr w14:paraId="79719A9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FB6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【特别说明】</w:t>
            </w:r>
          </w:p>
        </w:tc>
        <w:tc>
          <w:tcPr>
            <w:tcW w:w="9392" w:type="dxa"/>
            <w:gridSpan w:val="3"/>
            <w:noWrap w:val="0"/>
            <w:vAlign w:val="top"/>
          </w:tcPr>
          <w:p w14:paraId="6436F9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3E1EF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14:paraId="111F1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14:paraId="4F3594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14:paraId="5CB52E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14:paraId="32877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14:paraId="0A8C45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14:paraId="2DE28F8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7F3E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【报名须知】</w:t>
            </w:r>
          </w:p>
        </w:tc>
        <w:tc>
          <w:tcPr>
            <w:tcW w:w="9392" w:type="dxa"/>
            <w:gridSpan w:val="3"/>
            <w:noWrap w:val="0"/>
            <w:vAlign w:val="top"/>
          </w:tcPr>
          <w:p w14:paraId="2BB47F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14:paraId="3BB04B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2、此团为散客当地拼团，不派全陪领队，有时会与我社“A、B线”拼团。</w:t>
            </w:r>
          </w:p>
          <w:p w14:paraId="2F59F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14:paraId="6DE629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4、请游客在报名时，准确登记姓名及身份证等号码（小孩出生年月），并在出游时携带有效证件（身份证、户口本、护照、回乡证等），如因个人原因而引发无法出行及一切经济损失，责任自负。</w:t>
            </w:r>
          </w:p>
          <w:p w14:paraId="109B52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5A3B9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b/>
                <w:bCs/>
                <w:sz w:val="21"/>
                <w:szCs w:val="21"/>
              </w:rPr>
              <w:t>有些景区景点对于军人、老人、儿童等特定人群有一定优惠，请旅游者提前向导游出示证件以便导游购买优惠门票，如购买门票后再向导游出示，将不能享受优惠</w:t>
            </w:r>
            <w:r>
              <w:rPr>
                <w:rFonts w:hint="eastAsia" w:ascii="微软雅黑" w:hAnsi="微软雅黑" w:eastAsia="微软雅黑" w:cs="微软雅黑"/>
                <w:sz w:val="21"/>
                <w:szCs w:val="21"/>
              </w:rPr>
              <w:t>。</w:t>
            </w:r>
          </w:p>
          <w:p w14:paraId="77FCBA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57698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3A4187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9、因是散客拼团，因个人原因不用的餐不能退餐费，江西部分景区酒店用晚餐送早餐，若不在入住酒店内用晚餐。</w:t>
            </w:r>
          </w:p>
          <w:p w14:paraId="2D9D02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19CAC3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11、请游客认真填写游客意见书。游客签名的意见书将作为处理投诉及反馈意见的重要依据；请游客务必认真填写意见书，如不签或签了“满意”而又再回到深圳投诉，请恕我社概不承担责任。</w:t>
            </w:r>
          </w:p>
          <w:p w14:paraId="4738A1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12、退团说明：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347D47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13、行程中发生的纠纷，旅游者不得以拒绝登(下)机(车、船)、入住酒店等行为拖延行程或者脱团，否则，除承担给组团旅行社造成的实际损失外，还要承担旅游费用20-30%的违约金。</w:t>
            </w:r>
          </w:p>
        </w:tc>
      </w:tr>
      <w:tr w14:paraId="0E68D8D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05FEE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【出行须知】</w:t>
            </w:r>
          </w:p>
        </w:tc>
      </w:tr>
      <w:tr w14:paraId="379FD4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42A1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1.江西气候</w:t>
            </w:r>
          </w:p>
        </w:tc>
        <w:tc>
          <w:tcPr>
            <w:tcW w:w="9392" w:type="dxa"/>
            <w:gridSpan w:val="3"/>
            <w:noWrap w:val="0"/>
            <w:vAlign w:val="center"/>
          </w:tcPr>
          <w:p w14:paraId="24215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D8768E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835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2.江西餐饮</w:t>
            </w:r>
          </w:p>
        </w:tc>
        <w:tc>
          <w:tcPr>
            <w:tcW w:w="9392" w:type="dxa"/>
            <w:gridSpan w:val="3"/>
            <w:noWrap w:val="0"/>
            <w:vAlign w:val="center"/>
          </w:tcPr>
          <w:p w14:paraId="68A40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2D2059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AAB4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3.文明旅行</w:t>
            </w:r>
          </w:p>
        </w:tc>
        <w:tc>
          <w:tcPr>
            <w:tcW w:w="9392" w:type="dxa"/>
            <w:gridSpan w:val="3"/>
            <w:noWrap w:val="0"/>
            <w:vAlign w:val="center"/>
          </w:tcPr>
          <w:p w14:paraId="5525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2C69E42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37B2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4.关于行程</w:t>
            </w:r>
          </w:p>
        </w:tc>
        <w:tc>
          <w:tcPr>
            <w:tcW w:w="9392" w:type="dxa"/>
            <w:gridSpan w:val="3"/>
            <w:noWrap w:val="0"/>
            <w:vAlign w:val="center"/>
          </w:tcPr>
          <w:p w14:paraId="02D26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4B62D9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4637C4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14:paraId="1A2849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14:paraId="3308CF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14:paraId="3CA14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14:paraId="455FDF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F9EE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92" w:type="dxa"/>
            <w:gridSpan w:val="3"/>
            <w:noWrap w:val="0"/>
            <w:vAlign w:val="center"/>
          </w:tcPr>
          <w:p w14:paraId="52B12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14:paraId="713652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C0A3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92" w:type="dxa"/>
            <w:gridSpan w:val="3"/>
            <w:noWrap w:val="0"/>
            <w:vAlign w:val="center"/>
          </w:tcPr>
          <w:p w14:paraId="78314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14:paraId="3910122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FA81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92" w:type="dxa"/>
            <w:gridSpan w:val="3"/>
            <w:noWrap w:val="0"/>
            <w:vAlign w:val="center"/>
          </w:tcPr>
          <w:p w14:paraId="0FD77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14:paraId="64965F9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8346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92" w:type="dxa"/>
            <w:gridSpan w:val="3"/>
            <w:noWrap w:val="0"/>
            <w:vAlign w:val="center"/>
          </w:tcPr>
          <w:p w14:paraId="78975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31DA4F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住宿安排为两人一间，如出现单男单女无法拼住或无三人间安排，补单房差。</w:t>
            </w:r>
          </w:p>
        </w:tc>
      </w:tr>
      <w:tr w14:paraId="5016181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CE1FE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92" w:type="dxa"/>
            <w:gridSpan w:val="3"/>
            <w:noWrap w:val="0"/>
            <w:vAlign w:val="center"/>
          </w:tcPr>
          <w:p w14:paraId="74E6E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4FB1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742311B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1222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92" w:type="dxa"/>
            <w:gridSpan w:val="3"/>
            <w:noWrap w:val="0"/>
            <w:vAlign w:val="top"/>
          </w:tcPr>
          <w:p w14:paraId="42AE37C2">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17BCB1F7">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14:paraId="37C418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14:paraId="112C3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14:paraId="14157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14:paraId="0B0817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p w14:paraId="518317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7</w:t>
            </w:r>
            <w:bookmarkStart w:id="0" w:name="_GoBack"/>
            <w:bookmarkEnd w:id="0"/>
            <w:r>
              <w:rPr>
                <w:rFonts w:hint="eastAsia" w:ascii="微软雅黑" w:hAnsi="微软雅黑" w:eastAsia="微软雅黑" w:cs="微软雅黑"/>
                <w:b/>
                <w:sz w:val="21"/>
                <w:szCs w:val="21"/>
              </w:rPr>
              <w:t>、行程内赠送项目如因天气原因无法参观的不退任何费用，因游客自身原因放弃参观的不退任何费用。</w:t>
            </w:r>
          </w:p>
        </w:tc>
      </w:tr>
    </w:tbl>
    <w:p w14:paraId="77C4F675">
      <w:pPr>
        <w:snapToGrid w:val="0"/>
        <w:rPr>
          <w:rFonts w:hint="eastAsia" w:ascii="微软雅黑" w:hAnsi="微软雅黑" w:eastAsia="微软雅黑" w:cs="微软雅黑"/>
          <w:color w:val="3F3F3F"/>
          <w:sz w:val="24"/>
        </w:rPr>
      </w:pPr>
    </w:p>
    <w:p w14:paraId="687E1A05">
      <w:pPr>
        <w:snapToGrid w:val="0"/>
        <w:rPr>
          <w:rFonts w:hint="eastAsia" w:ascii="微软雅黑" w:hAnsi="微软雅黑" w:eastAsia="微软雅黑" w:cs="微软雅黑"/>
          <w:color w:val="3F3F3F"/>
          <w:sz w:val="24"/>
        </w:rPr>
      </w:pPr>
    </w:p>
    <w:sectPr>
      <w:pgSz w:w="11906" w:h="16838"/>
      <w:pgMar w:top="400" w:right="426" w:bottom="249"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5A32CF"/>
    <w:rsid w:val="00005B40"/>
    <w:rsid w:val="0004605E"/>
    <w:rsid w:val="00050F2F"/>
    <w:rsid w:val="00185C91"/>
    <w:rsid w:val="00205724"/>
    <w:rsid w:val="00220A09"/>
    <w:rsid w:val="00235CD4"/>
    <w:rsid w:val="0024062C"/>
    <w:rsid w:val="0025035D"/>
    <w:rsid w:val="00285E97"/>
    <w:rsid w:val="002A7329"/>
    <w:rsid w:val="002A76D9"/>
    <w:rsid w:val="002E6BAF"/>
    <w:rsid w:val="002F0095"/>
    <w:rsid w:val="003555DE"/>
    <w:rsid w:val="004A06CD"/>
    <w:rsid w:val="004A3A76"/>
    <w:rsid w:val="004D28DF"/>
    <w:rsid w:val="004E1C86"/>
    <w:rsid w:val="0056040D"/>
    <w:rsid w:val="00561CDE"/>
    <w:rsid w:val="005A32CF"/>
    <w:rsid w:val="005C0BB1"/>
    <w:rsid w:val="005D2577"/>
    <w:rsid w:val="005D7AAF"/>
    <w:rsid w:val="00605072"/>
    <w:rsid w:val="00697BA4"/>
    <w:rsid w:val="007311B6"/>
    <w:rsid w:val="0076308D"/>
    <w:rsid w:val="007763BB"/>
    <w:rsid w:val="007806C1"/>
    <w:rsid w:val="00795FA8"/>
    <w:rsid w:val="007D0183"/>
    <w:rsid w:val="008108A4"/>
    <w:rsid w:val="008123A7"/>
    <w:rsid w:val="00826DED"/>
    <w:rsid w:val="00865FC4"/>
    <w:rsid w:val="008F72D3"/>
    <w:rsid w:val="00900DEC"/>
    <w:rsid w:val="00915CCE"/>
    <w:rsid w:val="0099499B"/>
    <w:rsid w:val="00A40CC5"/>
    <w:rsid w:val="00A52C6C"/>
    <w:rsid w:val="00A56B61"/>
    <w:rsid w:val="00A626D3"/>
    <w:rsid w:val="00A745A9"/>
    <w:rsid w:val="00AA63F3"/>
    <w:rsid w:val="00AE7F6F"/>
    <w:rsid w:val="00AF316C"/>
    <w:rsid w:val="00B47940"/>
    <w:rsid w:val="00BD08F0"/>
    <w:rsid w:val="00BE5B07"/>
    <w:rsid w:val="00BF6BD4"/>
    <w:rsid w:val="00C25BD3"/>
    <w:rsid w:val="00C82209"/>
    <w:rsid w:val="00C90BA9"/>
    <w:rsid w:val="00D940BD"/>
    <w:rsid w:val="00DD6097"/>
    <w:rsid w:val="00E04E03"/>
    <w:rsid w:val="00E06903"/>
    <w:rsid w:val="00E105FF"/>
    <w:rsid w:val="00E64E57"/>
    <w:rsid w:val="00E70A87"/>
    <w:rsid w:val="00EA2805"/>
    <w:rsid w:val="00EA2A27"/>
    <w:rsid w:val="00ED57B9"/>
    <w:rsid w:val="00F141CF"/>
    <w:rsid w:val="00F43787"/>
    <w:rsid w:val="00F50B1F"/>
    <w:rsid w:val="00FA6C2B"/>
    <w:rsid w:val="00FE75B2"/>
    <w:rsid w:val="00FF2916"/>
    <w:rsid w:val="01255CCF"/>
    <w:rsid w:val="03760191"/>
    <w:rsid w:val="03A338A8"/>
    <w:rsid w:val="03E51479"/>
    <w:rsid w:val="03E83B81"/>
    <w:rsid w:val="04151DFB"/>
    <w:rsid w:val="04294648"/>
    <w:rsid w:val="04B07CB0"/>
    <w:rsid w:val="04DA13E9"/>
    <w:rsid w:val="0598292F"/>
    <w:rsid w:val="05F369E5"/>
    <w:rsid w:val="063A034E"/>
    <w:rsid w:val="065F3427"/>
    <w:rsid w:val="0672061A"/>
    <w:rsid w:val="067523D4"/>
    <w:rsid w:val="06821601"/>
    <w:rsid w:val="06C70EE7"/>
    <w:rsid w:val="06D572AF"/>
    <w:rsid w:val="078C59F3"/>
    <w:rsid w:val="07B95FA8"/>
    <w:rsid w:val="08070A0D"/>
    <w:rsid w:val="085D1C50"/>
    <w:rsid w:val="092B3D71"/>
    <w:rsid w:val="0A9D4011"/>
    <w:rsid w:val="0AA6433D"/>
    <w:rsid w:val="0BB9377F"/>
    <w:rsid w:val="0BEB673C"/>
    <w:rsid w:val="0D0A6587"/>
    <w:rsid w:val="0D424A2A"/>
    <w:rsid w:val="0E2844A2"/>
    <w:rsid w:val="0E7E2E09"/>
    <w:rsid w:val="0E800216"/>
    <w:rsid w:val="0EBA0028"/>
    <w:rsid w:val="0F854144"/>
    <w:rsid w:val="0FD871D4"/>
    <w:rsid w:val="10B50324"/>
    <w:rsid w:val="114943F6"/>
    <w:rsid w:val="11757CF4"/>
    <w:rsid w:val="123B0DF6"/>
    <w:rsid w:val="12600058"/>
    <w:rsid w:val="127F47D1"/>
    <w:rsid w:val="128363B5"/>
    <w:rsid w:val="129D4669"/>
    <w:rsid w:val="143A4ABF"/>
    <w:rsid w:val="15181549"/>
    <w:rsid w:val="152B2663"/>
    <w:rsid w:val="154366E4"/>
    <w:rsid w:val="15CB15E3"/>
    <w:rsid w:val="16F8150E"/>
    <w:rsid w:val="1703535A"/>
    <w:rsid w:val="177E7FD0"/>
    <w:rsid w:val="17AB780B"/>
    <w:rsid w:val="184750D2"/>
    <w:rsid w:val="19077EA8"/>
    <w:rsid w:val="19376A5F"/>
    <w:rsid w:val="19550850"/>
    <w:rsid w:val="195F0F5A"/>
    <w:rsid w:val="19B474B2"/>
    <w:rsid w:val="19DB278D"/>
    <w:rsid w:val="1A257A75"/>
    <w:rsid w:val="1A7B454B"/>
    <w:rsid w:val="1ACF6B44"/>
    <w:rsid w:val="1AD84135"/>
    <w:rsid w:val="1AE84F0D"/>
    <w:rsid w:val="1BA749EF"/>
    <w:rsid w:val="1BBB7F9E"/>
    <w:rsid w:val="1BDD48B0"/>
    <w:rsid w:val="1CE427ED"/>
    <w:rsid w:val="1D967665"/>
    <w:rsid w:val="1E635FFF"/>
    <w:rsid w:val="1E760FEA"/>
    <w:rsid w:val="1E980080"/>
    <w:rsid w:val="1EEE3414"/>
    <w:rsid w:val="1F4064FC"/>
    <w:rsid w:val="1FE97A39"/>
    <w:rsid w:val="20130270"/>
    <w:rsid w:val="210D7C03"/>
    <w:rsid w:val="21483351"/>
    <w:rsid w:val="21B04217"/>
    <w:rsid w:val="21B346A3"/>
    <w:rsid w:val="21F729D8"/>
    <w:rsid w:val="229903FF"/>
    <w:rsid w:val="22D2672A"/>
    <w:rsid w:val="22D360CF"/>
    <w:rsid w:val="22D56AFC"/>
    <w:rsid w:val="2316431B"/>
    <w:rsid w:val="238E4671"/>
    <w:rsid w:val="243279D1"/>
    <w:rsid w:val="254E49EF"/>
    <w:rsid w:val="256B2D88"/>
    <w:rsid w:val="258149EE"/>
    <w:rsid w:val="25D3082F"/>
    <w:rsid w:val="261953BD"/>
    <w:rsid w:val="26802C75"/>
    <w:rsid w:val="269158C6"/>
    <w:rsid w:val="271976A8"/>
    <w:rsid w:val="27513398"/>
    <w:rsid w:val="27706BF2"/>
    <w:rsid w:val="2772561B"/>
    <w:rsid w:val="27D030C1"/>
    <w:rsid w:val="27D9289E"/>
    <w:rsid w:val="27E01AE2"/>
    <w:rsid w:val="27FC39E5"/>
    <w:rsid w:val="28987223"/>
    <w:rsid w:val="28A808E8"/>
    <w:rsid w:val="28C54567"/>
    <w:rsid w:val="28E40D79"/>
    <w:rsid w:val="29633F95"/>
    <w:rsid w:val="29982161"/>
    <w:rsid w:val="2A296509"/>
    <w:rsid w:val="2A321881"/>
    <w:rsid w:val="2A936F6A"/>
    <w:rsid w:val="2AD64196"/>
    <w:rsid w:val="2B2D6D98"/>
    <w:rsid w:val="2B6663C7"/>
    <w:rsid w:val="2C2D558F"/>
    <w:rsid w:val="2C8A2B2F"/>
    <w:rsid w:val="2CE365CB"/>
    <w:rsid w:val="2D273FBF"/>
    <w:rsid w:val="2D86549F"/>
    <w:rsid w:val="2E2C704A"/>
    <w:rsid w:val="2E364092"/>
    <w:rsid w:val="2E3F3DC3"/>
    <w:rsid w:val="2E765318"/>
    <w:rsid w:val="2F3635FA"/>
    <w:rsid w:val="2F4F1041"/>
    <w:rsid w:val="2FC2303A"/>
    <w:rsid w:val="2FD44BC7"/>
    <w:rsid w:val="30F5474B"/>
    <w:rsid w:val="31470BDA"/>
    <w:rsid w:val="31EF10E3"/>
    <w:rsid w:val="32205BCC"/>
    <w:rsid w:val="3296761B"/>
    <w:rsid w:val="33362E26"/>
    <w:rsid w:val="33CB7476"/>
    <w:rsid w:val="34112CAA"/>
    <w:rsid w:val="34355358"/>
    <w:rsid w:val="343C1790"/>
    <w:rsid w:val="350564DE"/>
    <w:rsid w:val="35EC767C"/>
    <w:rsid w:val="3727701D"/>
    <w:rsid w:val="37EC6C84"/>
    <w:rsid w:val="38016AA8"/>
    <w:rsid w:val="39976287"/>
    <w:rsid w:val="39C14301"/>
    <w:rsid w:val="39E13F0B"/>
    <w:rsid w:val="3A132569"/>
    <w:rsid w:val="3A4916BC"/>
    <w:rsid w:val="3A5B442D"/>
    <w:rsid w:val="3A905DB5"/>
    <w:rsid w:val="3B5808B8"/>
    <w:rsid w:val="3B951E68"/>
    <w:rsid w:val="3BA00572"/>
    <w:rsid w:val="3BBA3F6E"/>
    <w:rsid w:val="3BC614B8"/>
    <w:rsid w:val="3BF106E0"/>
    <w:rsid w:val="3CA820C1"/>
    <w:rsid w:val="3D0A0E19"/>
    <w:rsid w:val="3D417A16"/>
    <w:rsid w:val="3D5A26A8"/>
    <w:rsid w:val="3E567B13"/>
    <w:rsid w:val="3ECD2B96"/>
    <w:rsid w:val="3F837393"/>
    <w:rsid w:val="3F8A7CDC"/>
    <w:rsid w:val="3FBA70FD"/>
    <w:rsid w:val="3FC17BA4"/>
    <w:rsid w:val="406A34D3"/>
    <w:rsid w:val="40A84E4B"/>
    <w:rsid w:val="416F52AC"/>
    <w:rsid w:val="42345928"/>
    <w:rsid w:val="44674356"/>
    <w:rsid w:val="44C35F5B"/>
    <w:rsid w:val="44ED17AA"/>
    <w:rsid w:val="44ED72D0"/>
    <w:rsid w:val="45F5239B"/>
    <w:rsid w:val="46504513"/>
    <w:rsid w:val="4653448F"/>
    <w:rsid w:val="468068B0"/>
    <w:rsid w:val="46A91B75"/>
    <w:rsid w:val="46F81F5C"/>
    <w:rsid w:val="479F2DF2"/>
    <w:rsid w:val="47D8764C"/>
    <w:rsid w:val="47EB2EC2"/>
    <w:rsid w:val="4839608B"/>
    <w:rsid w:val="48501CFB"/>
    <w:rsid w:val="48CA1088"/>
    <w:rsid w:val="49CE3CBB"/>
    <w:rsid w:val="4B157580"/>
    <w:rsid w:val="4B2B6851"/>
    <w:rsid w:val="4B2C3A9B"/>
    <w:rsid w:val="4B90031E"/>
    <w:rsid w:val="4BA9703E"/>
    <w:rsid w:val="4BC5290C"/>
    <w:rsid w:val="4BDF5C0B"/>
    <w:rsid w:val="4C554F33"/>
    <w:rsid w:val="4EA224EF"/>
    <w:rsid w:val="4EF8638A"/>
    <w:rsid w:val="4F735D69"/>
    <w:rsid w:val="4F9E6737"/>
    <w:rsid w:val="508C2093"/>
    <w:rsid w:val="518E10DA"/>
    <w:rsid w:val="52BF1218"/>
    <w:rsid w:val="52DC6166"/>
    <w:rsid w:val="52FB3842"/>
    <w:rsid w:val="53171276"/>
    <w:rsid w:val="53CB0195"/>
    <w:rsid w:val="53CD3EF2"/>
    <w:rsid w:val="540C7F4F"/>
    <w:rsid w:val="54A311FF"/>
    <w:rsid w:val="55C025D0"/>
    <w:rsid w:val="55EA43CD"/>
    <w:rsid w:val="56240BA2"/>
    <w:rsid w:val="562421BD"/>
    <w:rsid w:val="56361E6D"/>
    <w:rsid w:val="571235F4"/>
    <w:rsid w:val="571D16B8"/>
    <w:rsid w:val="57356170"/>
    <w:rsid w:val="57726EE1"/>
    <w:rsid w:val="57C25FC5"/>
    <w:rsid w:val="584C7306"/>
    <w:rsid w:val="591E336C"/>
    <w:rsid w:val="596A6E05"/>
    <w:rsid w:val="59EA39CB"/>
    <w:rsid w:val="5AB91B2B"/>
    <w:rsid w:val="5ADB591A"/>
    <w:rsid w:val="5B126928"/>
    <w:rsid w:val="5B3F44A8"/>
    <w:rsid w:val="5BD75D0D"/>
    <w:rsid w:val="5BDB58DA"/>
    <w:rsid w:val="5C1E28E5"/>
    <w:rsid w:val="5CD035C2"/>
    <w:rsid w:val="5E9E5709"/>
    <w:rsid w:val="5F357A44"/>
    <w:rsid w:val="5F7F6983"/>
    <w:rsid w:val="608E69BB"/>
    <w:rsid w:val="61282388"/>
    <w:rsid w:val="61407419"/>
    <w:rsid w:val="61473241"/>
    <w:rsid w:val="616814A6"/>
    <w:rsid w:val="619B740E"/>
    <w:rsid w:val="61B55F52"/>
    <w:rsid w:val="62BB3B16"/>
    <w:rsid w:val="63BF766C"/>
    <w:rsid w:val="63FE3C9C"/>
    <w:rsid w:val="64043AB5"/>
    <w:rsid w:val="648A5175"/>
    <w:rsid w:val="64FD66D8"/>
    <w:rsid w:val="66076B00"/>
    <w:rsid w:val="665C2AAA"/>
    <w:rsid w:val="66B141AA"/>
    <w:rsid w:val="66CF432F"/>
    <w:rsid w:val="66E67AFC"/>
    <w:rsid w:val="67744E4E"/>
    <w:rsid w:val="680D0017"/>
    <w:rsid w:val="684A0F35"/>
    <w:rsid w:val="68A50373"/>
    <w:rsid w:val="68D02751"/>
    <w:rsid w:val="68F3634D"/>
    <w:rsid w:val="6A920FF3"/>
    <w:rsid w:val="6AA71B8D"/>
    <w:rsid w:val="6B1E4CD5"/>
    <w:rsid w:val="6B3C1096"/>
    <w:rsid w:val="6BAA336B"/>
    <w:rsid w:val="6C0A3054"/>
    <w:rsid w:val="6C2701BA"/>
    <w:rsid w:val="6C5C022F"/>
    <w:rsid w:val="6CD73CF1"/>
    <w:rsid w:val="6CE60D1E"/>
    <w:rsid w:val="6D2342BC"/>
    <w:rsid w:val="6D4C0162"/>
    <w:rsid w:val="6D683277"/>
    <w:rsid w:val="6D6E3B5C"/>
    <w:rsid w:val="6DB036CC"/>
    <w:rsid w:val="6DBF60E7"/>
    <w:rsid w:val="6ED242AD"/>
    <w:rsid w:val="703D15F7"/>
    <w:rsid w:val="70694AE9"/>
    <w:rsid w:val="70A14EEE"/>
    <w:rsid w:val="713F36F4"/>
    <w:rsid w:val="71AD1A11"/>
    <w:rsid w:val="71ED2665"/>
    <w:rsid w:val="722A76A6"/>
    <w:rsid w:val="72595397"/>
    <w:rsid w:val="728E7666"/>
    <w:rsid w:val="72D65906"/>
    <w:rsid w:val="74404076"/>
    <w:rsid w:val="74497B44"/>
    <w:rsid w:val="74D22F35"/>
    <w:rsid w:val="74F40DF5"/>
    <w:rsid w:val="752F5338"/>
    <w:rsid w:val="760A5684"/>
    <w:rsid w:val="764A4928"/>
    <w:rsid w:val="76C75323"/>
    <w:rsid w:val="7781036D"/>
    <w:rsid w:val="7784187C"/>
    <w:rsid w:val="77D74350"/>
    <w:rsid w:val="77D91CC1"/>
    <w:rsid w:val="785F0451"/>
    <w:rsid w:val="78CD32B5"/>
    <w:rsid w:val="78CD5BCB"/>
    <w:rsid w:val="79177588"/>
    <w:rsid w:val="79393DA6"/>
    <w:rsid w:val="796C2AB9"/>
    <w:rsid w:val="7AD53645"/>
    <w:rsid w:val="7B62568F"/>
    <w:rsid w:val="7BA3691E"/>
    <w:rsid w:val="7BAD4158"/>
    <w:rsid w:val="7CA15D74"/>
    <w:rsid w:val="7CEC1B3C"/>
    <w:rsid w:val="7D08751F"/>
    <w:rsid w:val="7D1D2052"/>
    <w:rsid w:val="7DB80FA3"/>
    <w:rsid w:val="7DD30240"/>
    <w:rsid w:val="7DD9323C"/>
    <w:rsid w:val="7E5225C6"/>
    <w:rsid w:val="7F174C85"/>
    <w:rsid w:val="7FC30197"/>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qFormat/>
    <w:uiPriority w:val="0"/>
    <w:pPr>
      <w:tabs>
        <w:tab w:val="center" w:pos="4153"/>
        <w:tab w:val="right" w:pos="8306"/>
      </w:tabs>
      <w:snapToGrid w:val="0"/>
      <w:jc w:val="left"/>
    </w:pPr>
    <w:rPr>
      <w:rFonts w:ascii="Calibri" w:hAnsi="Calibri"/>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uiPriority w:val="0"/>
    <w:rPr>
      <w:color w:val="0000FF"/>
      <w:u w:val="single"/>
    </w:rPr>
  </w:style>
  <w:style w:type="character" w:customStyle="1" w:styleId="13">
    <w:name w:val="页脚 Char"/>
    <w:link w:val="4"/>
    <w:qFormat/>
    <w:uiPriority w:val="0"/>
    <w:rPr>
      <w:rFonts w:ascii="Calibri" w:hAnsi="Calibri"/>
      <w:kern w:val="2"/>
      <w:sz w:val="18"/>
      <w:szCs w:val="18"/>
    </w:rPr>
  </w:style>
  <w:style w:type="character" w:customStyle="1" w:styleId="14">
    <w:name w:val="页眉 Char"/>
    <w:link w:val="5"/>
    <w:qFormat/>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7331</Words>
  <Characters>7448</Characters>
  <Lines>54</Lines>
  <Paragraphs>15</Paragraphs>
  <TotalTime>12</TotalTime>
  <ScaleCrop>false</ScaleCrop>
  <LinksUpToDate>false</LinksUpToDate>
  <CharactersWithSpaces>7486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2023-04-01T08:26:00Z</dcterms:created>
  <dc:creator>Administrator</dc:creator>
  <cp:lastModifiedBy>醉爱.华东.青大.冯18980041925</cp:lastModifiedBy>
  <dcterms:modified xsi:type="dcterms:W3CDTF">2026-05-25T02:48:09Z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82B5E0FA015A47DD8DA37524905B6751_13</vt:lpwstr>
  </property>
  <property fmtid="{D5CDD505-2E9C-101B-9397-08002B2CF9AE}" pid="4" name="KSOTemplateDocerSaveRecord">
    <vt:lpwstr>eyJoZGlkIjoiMDJmMjFlMmQ2NzJhNDI0MTdhYjVlZDVlYWRhNDgzNDEiLCJ1c2VySWQiOiIzNzgwMjgzMzkifQ==</vt:lpwstr>
  </property>
</Properties>
</file>