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43C349">
      <w:pPr>
        <w:spacing w:line="300" w:lineRule="auto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-1130300</wp:posOffset>
            </wp:positionH>
            <wp:positionV relativeFrom="paragraph">
              <wp:posOffset>-1004570</wp:posOffset>
            </wp:positionV>
            <wp:extent cx="7536815" cy="10653395"/>
            <wp:effectExtent l="0" t="0" r="6985" b="1905"/>
            <wp:wrapNone/>
            <wp:docPr id="6" name="图片 6" descr="论剑华山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论剑华山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65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06D09">
      <w:pPr>
        <w:spacing w:line="300" w:lineRule="auto"/>
        <w:rPr>
          <w:rFonts w:hint="eastAsia" w:eastAsiaTheme="minorEastAsia"/>
          <w:lang w:eastAsia="zh-CN"/>
        </w:rPr>
      </w:pPr>
    </w:p>
    <w:p w14:paraId="0D26A9AB">
      <w:pPr>
        <w:spacing w:line="300" w:lineRule="auto"/>
        <w:rPr>
          <w:rFonts w:hint="eastAsia" w:eastAsiaTheme="minorEastAsia"/>
          <w:lang w:eastAsia="zh-CN"/>
        </w:rPr>
      </w:pPr>
    </w:p>
    <w:p w14:paraId="77DF2C83">
      <w:pPr>
        <w:spacing w:line="300" w:lineRule="auto"/>
        <w:rPr>
          <w:rFonts w:hint="eastAsia" w:eastAsiaTheme="minorEastAsia"/>
          <w:lang w:eastAsia="zh-CN"/>
        </w:rPr>
      </w:pPr>
    </w:p>
    <w:p w14:paraId="4EA9B4A6">
      <w:pPr>
        <w:spacing w:line="300" w:lineRule="auto"/>
        <w:rPr>
          <w:rFonts w:hint="eastAsia" w:eastAsiaTheme="minorEastAsia"/>
          <w:lang w:eastAsia="zh-CN"/>
        </w:rPr>
      </w:pPr>
    </w:p>
    <w:p w14:paraId="218D530E">
      <w:pPr>
        <w:spacing w:line="300" w:lineRule="auto"/>
        <w:rPr>
          <w:rFonts w:hint="eastAsia" w:eastAsiaTheme="minorEastAsia"/>
          <w:lang w:eastAsia="zh-CN"/>
        </w:rPr>
      </w:pPr>
    </w:p>
    <w:p w14:paraId="41857EFD">
      <w:pPr>
        <w:spacing w:line="300" w:lineRule="auto"/>
        <w:rPr>
          <w:rFonts w:hint="eastAsia" w:eastAsiaTheme="minorEastAsia"/>
          <w:lang w:eastAsia="zh-CN"/>
        </w:rPr>
      </w:pPr>
    </w:p>
    <w:p w14:paraId="1438047D">
      <w:pPr>
        <w:spacing w:line="300" w:lineRule="auto"/>
        <w:rPr>
          <w:rFonts w:hint="eastAsia" w:eastAsiaTheme="minorEastAsia"/>
          <w:lang w:eastAsia="zh-CN"/>
        </w:rPr>
      </w:pPr>
    </w:p>
    <w:p w14:paraId="08A0DA7C">
      <w:pPr>
        <w:spacing w:line="300" w:lineRule="auto"/>
        <w:rPr>
          <w:rFonts w:hint="eastAsia" w:eastAsiaTheme="minorEastAsia"/>
          <w:lang w:eastAsia="zh-CN"/>
        </w:rPr>
      </w:pPr>
    </w:p>
    <w:p w14:paraId="0475E84C">
      <w:pPr>
        <w:spacing w:line="300" w:lineRule="auto"/>
        <w:rPr>
          <w:rFonts w:hint="eastAsia" w:eastAsiaTheme="minorEastAsia"/>
          <w:lang w:eastAsia="zh-CN"/>
        </w:rPr>
      </w:pPr>
    </w:p>
    <w:p w14:paraId="4D82007C">
      <w:pPr>
        <w:spacing w:line="300" w:lineRule="auto"/>
        <w:rPr>
          <w:rFonts w:hint="eastAsia" w:eastAsiaTheme="minorEastAsia"/>
          <w:lang w:eastAsia="zh-CN"/>
        </w:rPr>
      </w:pPr>
    </w:p>
    <w:p w14:paraId="4E2CAA14">
      <w:pPr>
        <w:spacing w:line="300" w:lineRule="auto"/>
        <w:rPr>
          <w:rFonts w:hint="eastAsia" w:eastAsiaTheme="minorEastAsia"/>
          <w:lang w:eastAsia="zh-CN"/>
        </w:rPr>
      </w:pPr>
    </w:p>
    <w:p w14:paraId="20177F89">
      <w:pPr>
        <w:spacing w:line="300" w:lineRule="auto"/>
        <w:rPr>
          <w:rFonts w:hint="eastAsia" w:eastAsiaTheme="minorEastAsia"/>
          <w:lang w:eastAsia="zh-CN"/>
        </w:rPr>
      </w:pPr>
    </w:p>
    <w:p w14:paraId="2A90A6C9">
      <w:pPr>
        <w:spacing w:line="300" w:lineRule="auto"/>
        <w:rPr>
          <w:rFonts w:hint="eastAsia" w:eastAsiaTheme="minorEastAsia"/>
          <w:lang w:eastAsia="zh-CN"/>
        </w:rPr>
      </w:pPr>
    </w:p>
    <w:p w14:paraId="26D9ACC9">
      <w:pPr>
        <w:spacing w:line="300" w:lineRule="auto"/>
        <w:rPr>
          <w:rFonts w:hint="eastAsia" w:eastAsiaTheme="minorEastAsia"/>
          <w:lang w:eastAsia="zh-CN"/>
        </w:rPr>
      </w:pPr>
    </w:p>
    <w:p w14:paraId="21C03512">
      <w:pPr>
        <w:spacing w:line="300" w:lineRule="auto"/>
        <w:rPr>
          <w:rFonts w:hint="eastAsia" w:eastAsiaTheme="minorEastAsia"/>
          <w:lang w:eastAsia="zh-CN"/>
        </w:rPr>
      </w:pPr>
    </w:p>
    <w:p w14:paraId="239852B2">
      <w:pPr>
        <w:spacing w:line="300" w:lineRule="auto"/>
        <w:rPr>
          <w:rFonts w:hint="eastAsia" w:eastAsiaTheme="minorEastAsia"/>
          <w:lang w:eastAsia="zh-CN"/>
        </w:rPr>
      </w:pPr>
    </w:p>
    <w:p w14:paraId="5DDBFF1A">
      <w:pPr>
        <w:spacing w:line="300" w:lineRule="auto"/>
        <w:rPr>
          <w:rFonts w:hint="eastAsia" w:eastAsiaTheme="minorEastAsia"/>
          <w:lang w:eastAsia="zh-CN"/>
        </w:rPr>
      </w:pPr>
    </w:p>
    <w:p w14:paraId="784AA3D5">
      <w:pPr>
        <w:spacing w:line="300" w:lineRule="auto"/>
        <w:rPr>
          <w:rFonts w:hint="eastAsia" w:eastAsiaTheme="minorEastAsia"/>
          <w:lang w:eastAsia="zh-CN"/>
        </w:rPr>
      </w:pPr>
    </w:p>
    <w:p w14:paraId="66467778">
      <w:pPr>
        <w:spacing w:line="300" w:lineRule="auto"/>
        <w:rPr>
          <w:rFonts w:hint="eastAsia" w:eastAsiaTheme="minorEastAsia"/>
          <w:lang w:eastAsia="zh-CN"/>
        </w:rPr>
      </w:pPr>
    </w:p>
    <w:p w14:paraId="4E7EF62C">
      <w:pPr>
        <w:spacing w:line="300" w:lineRule="auto"/>
        <w:rPr>
          <w:rFonts w:hint="eastAsia" w:eastAsiaTheme="minorEastAsia"/>
          <w:lang w:eastAsia="zh-CN"/>
        </w:rPr>
      </w:pPr>
    </w:p>
    <w:p w14:paraId="0B646B51">
      <w:pPr>
        <w:spacing w:line="300" w:lineRule="auto"/>
        <w:rPr>
          <w:rFonts w:hint="eastAsia" w:eastAsiaTheme="minorEastAsia"/>
          <w:lang w:eastAsia="zh-CN"/>
        </w:rPr>
      </w:pPr>
    </w:p>
    <w:p w14:paraId="4CB6EA23">
      <w:pPr>
        <w:spacing w:line="300" w:lineRule="auto"/>
        <w:rPr>
          <w:rFonts w:hint="eastAsia" w:eastAsiaTheme="minorEastAsia"/>
          <w:lang w:eastAsia="zh-CN"/>
        </w:rPr>
      </w:pPr>
    </w:p>
    <w:p w14:paraId="179CFC8E">
      <w:pPr>
        <w:spacing w:line="300" w:lineRule="auto"/>
        <w:rPr>
          <w:rFonts w:hint="eastAsia" w:eastAsiaTheme="minorEastAsia"/>
          <w:lang w:eastAsia="zh-CN"/>
        </w:rPr>
      </w:pPr>
    </w:p>
    <w:p w14:paraId="06DA4CAA">
      <w:pPr>
        <w:spacing w:line="300" w:lineRule="auto"/>
        <w:rPr>
          <w:rFonts w:hint="eastAsia" w:eastAsiaTheme="minorEastAsia"/>
          <w:lang w:eastAsia="zh-CN"/>
        </w:rPr>
      </w:pPr>
    </w:p>
    <w:p w14:paraId="4F6EA035">
      <w:pPr>
        <w:spacing w:line="300" w:lineRule="auto"/>
        <w:rPr>
          <w:rFonts w:hint="eastAsia" w:eastAsiaTheme="minorEastAsia"/>
          <w:lang w:eastAsia="zh-CN"/>
        </w:rPr>
      </w:pPr>
    </w:p>
    <w:p w14:paraId="367AF196">
      <w:pPr>
        <w:spacing w:line="300" w:lineRule="auto"/>
        <w:rPr>
          <w:rFonts w:hint="eastAsia" w:eastAsiaTheme="minorEastAsia"/>
          <w:lang w:eastAsia="zh-CN"/>
        </w:rPr>
      </w:pPr>
    </w:p>
    <w:p w14:paraId="07B131C7">
      <w:pPr>
        <w:spacing w:line="300" w:lineRule="auto"/>
        <w:rPr>
          <w:rFonts w:hint="eastAsia" w:eastAsiaTheme="minorEastAsia"/>
          <w:lang w:eastAsia="zh-CN"/>
        </w:rPr>
      </w:pPr>
    </w:p>
    <w:p w14:paraId="3DE0B535">
      <w:pPr>
        <w:spacing w:line="300" w:lineRule="auto"/>
        <w:rPr>
          <w:rFonts w:hint="eastAsia" w:eastAsiaTheme="minorEastAsia"/>
          <w:lang w:eastAsia="zh-CN"/>
        </w:rPr>
      </w:pPr>
    </w:p>
    <w:p w14:paraId="031F9D4D">
      <w:pPr>
        <w:spacing w:line="300" w:lineRule="auto"/>
        <w:rPr>
          <w:rFonts w:hint="eastAsia" w:eastAsiaTheme="minorEastAsia"/>
          <w:lang w:eastAsia="zh-CN"/>
        </w:rPr>
      </w:pPr>
    </w:p>
    <w:p w14:paraId="4B7DCC19">
      <w:pPr>
        <w:spacing w:line="300" w:lineRule="auto"/>
        <w:rPr>
          <w:rFonts w:hint="eastAsia" w:eastAsiaTheme="minorEastAsia"/>
          <w:lang w:eastAsia="zh-CN"/>
        </w:rPr>
      </w:pPr>
    </w:p>
    <w:p w14:paraId="4A5DC544">
      <w:pPr>
        <w:spacing w:line="300" w:lineRule="auto"/>
        <w:rPr>
          <w:rFonts w:hint="eastAsia" w:eastAsiaTheme="minorEastAsia"/>
          <w:lang w:eastAsia="zh-CN"/>
        </w:rPr>
      </w:pPr>
    </w:p>
    <w:p w14:paraId="34F1F7EF">
      <w:pPr>
        <w:spacing w:line="300" w:lineRule="auto"/>
        <w:rPr>
          <w:rFonts w:hint="eastAsia" w:eastAsiaTheme="minorEastAsia"/>
          <w:lang w:eastAsia="zh-CN"/>
        </w:rPr>
      </w:pPr>
    </w:p>
    <w:p w14:paraId="427D7335">
      <w:pPr>
        <w:spacing w:line="300" w:lineRule="auto"/>
        <w:rPr>
          <w:rFonts w:hint="eastAsia" w:eastAsiaTheme="minorEastAsia"/>
          <w:lang w:eastAsia="zh-CN"/>
        </w:rPr>
      </w:pPr>
    </w:p>
    <w:p w14:paraId="1104941E">
      <w:pPr>
        <w:spacing w:line="300" w:lineRule="auto"/>
        <w:rPr>
          <w:rFonts w:hint="eastAsia" w:eastAsiaTheme="minorEastAsia"/>
          <w:lang w:eastAsia="zh-CN"/>
        </w:rPr>
      </w:pPr>
    </w:p>
    <w:p w14:paraId="168F82F4">
      <w:pPr>
        <w:spacing w:line="300" w:lineRule="auto"/>
        <w:rPr>
          <w:rFonts w:hint="eastAsia" w:eastAsiaTheme="minorEastAsia"/>
          <w:lang w:eastAsia="zh-CN"/>
        </w:rPr>
      </w:pPr>
    </w:p>
    <w:p w14:paraId="67C7ECED">
      <w:pPr>
        <w:spacing w:line="300" w:lineRule="auto"/>
      </w:pPr>
    </w:p>
    <w:tbl>
      <w:tblPr>
        <w:tblStyle w:val="6"/>
        <w:tblW w:w="10915" w:type="dxa"/>
        <w:tblInd w:w="-1168" w:type="dxa"/>
        <w:tblBorders>
          <w:top w:val="double" w:color="4F81BD" w:themeColor="accent1" w:sz="4" w:space="0"/>
          <w:left w:val="double" w:color="4F81BD" w:themeColor="accent1" w:sz="4" w:space="0"/>
          <w:bottom w:val="double" w:color="4F81BD" w:themeColor="accent1" w:sz="4" w:space="0"/>
          <w:right w:val="double" w:color="4F81BD" w:themeColor="accent1" w:sz="4" w:space="0"/>
          <w:insideH w:val="single" w:color="4F81BD" w:themeColor="accent1" w:sz="4" w:space="0"/>
          <w:insideV w:val="single" w:color="4F81BD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3"/>
        <w:gridCol w:w="265"/>
        <w:gridCol w:w="1599"/>
        <w:gridCol w:w="4496"/>
        <w:gridCol w:w="1056"/>
        <w:gridCol w:w="362"/>
        <w:gridCol w:w="142"/>
        <w:gridCol w:w="537"/>
        <w:gridCol w:w="1305"/>
      </w:tblGrid>
      <w:tr w14:paraId="14A5A89A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F22C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7E4E2A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D809B"/>
                <w:kern w:val="0"/>
                <w:sz w:val="21"/>
                <w:szCs w:val="21"/>
              </w:rPr>
              <w:t>【行程速览】</w:t>
            </w:r>
          </w:p>
        </w:tc>
      </w:tr>
      <w:tr w14:paraId="3CDB225D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236A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6664F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D809B"/>
                <w:kern w:val="0"/>
                <w:sz w:val="21"/>
                <w:szCs w:val="21"/>
              </w:rPr>
              <w:t>D1</w:t>
            </w:r>
          </w:p>
        </w:tc>
        <w:tc>
          <w:tcPr>
            <w:tcW w:w="976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BD34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/住西安</w:t>
            </w:r>
          </w:p>
        </w:tc>
      </w:tr>
      <w:tr w14:paraId="05FC7C1F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1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5B76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6664F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D809B"/>
                <w:kern w:val="0"/>
                <w:sz w:val="21"/>
                <w:szCs w:val="21"/>
              </w:rPr>
              <w:t>D2</w:t>
            </w:r>
          </w:p>
        </w:tc>
        <w:tc>
          <w:tcPr>
            <w:tcW w:w="976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E0EC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highlight w:val="none"/>
              </w:rPr>
              <w:t>秦始皇陵兵马俑博物院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中晚餐/住西安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</w:p>
        </w:tc>
      </w:tr>
      <w:tr w14:paraId="1AED7054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11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F807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6664F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D809B"/>
                <w:kern w:val="0"/>
                <w:sz w:val="21"/>
                <w:szCs w:val="21"/>
              </w:rPr>
              <w:t>D3</w:t>
            </w:r>
          </w:p>
        </w:tc>
        <w:tc>
          <w:tcPr>
            <w:tcW w:w="976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5D02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0A615B65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11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DCD0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6664F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D809B"/>
                <w:kern w:val="0"/>
                <w:sz w:val="21"/>
                <w:szCs w:val="21"/>
              </w:rPr>
              <w:t>D4</w:t>
            </w:r>
          </w:p>
        </w:tc>
        <w:tc>
          <w:tcPr>
            <w:tcW w:w="976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EFAB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返程送站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  <w:tr w14:paraId="14A483E3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640D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sz w:val="22"/>
                <w:szCs w:val="22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36BD1A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2"/>
                <w:szCs w:val="22"/>
              </w:rPr>
              <w:t>陕西人为秦人，讲话口音偏重，如果有言语吼喝没有恶意，敬请谅解。</w:t>
            </w:r>
          </w:p>
          <w:p w14:paraId="7D487D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7E4E2A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2"/>
                <w:szCs w:val="22"/>
              </w:rPr>
              <w:t xml:space="preserve"> </w:t>
            </w:r>
          </w:p>
        </w:tc>
      </w:tr>
      <w:tr w14:paraId="5A1C5C17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E7E0D0">
            <w:pPr>
              <w:snapToGrid w:val="0"/>
              <w:jc w:val="center"/>
              <w:rPr>
                <w:rFonts w:hint="default" w:ascii="微软雅黑" w:hAnsi="微软雅黑" w:eastAsia="微软雅黑" w:cs="微软雅黑"/>
                <w:b/>
                <w:bCs/>
                <w:color w:val="6D7F9B"/>
                <w:kern w:val="0"/>
                <w:sz w:val="44"/>
                <w:szCs w:val="4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04042BC7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788DA2"/>
            <w:vAlign w:val="center"/>
          </w:tcPr>
          <w:p w14:paraId="7EAC65DB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788DA2"/>
          </w:tcPr>
          <w:p w14:paraId="6A171818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3"/>
            <w:tcBorders>
              <w:tl2br w:val="nil"/>
              <w:tr2bl w:val="nil"/>
            </w:tcBorders>
            <w:shd w:val="clear" w:color="auto" w:fill="788DA2"/>
          </w:tcPr>
          <w:p w14:paraId="0A823F00">
            <w:pP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2BB7274B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ACDC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19F447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3918D2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4B8BAB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542C64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63CE72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5BAAC1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1BF8D2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34BE3932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788DA2"/>
            <w:vAlign w:val="center"/>
          </w:tcPr>
          <w:p w14:paraId="553B4F45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第二天：秦始皇陵兵马俑博物馆、唐华清宫</w:t>
            </w:r>
          </w:p>
        </w:tc>
        <w:tc>
          <w:tcPr>
            <w:tcW w:w="1560" w:type="dxa"/>
            <w:gridSpan w:val="3"/>
            <w:tcBorders>
              <w:tl2br w:val="nil"/>
              <w:tr2bl w:val="nil"/>
            </w:tcBorders>
            <w:shd w:val="clear" w:color="auto" w:fill="788DA2"/>
          </w:tcPr>
          <w:p w14:paraId="5608E13C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1842" w:type="dxa"/>
            <w:gridSpan w:val="2"/>
            <w:tcBorders>
              <w:tl2br w:val="nil"/>
              <w:tr2bl w:val="nil"/>
            </w:tcBorders>
            <w:shd w:val="clear" w:color="auto" w:fill="788DA2"/>
          </w:tcPr>
          <w:p w14:paraId="388F4A79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16151C7A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98B1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254061" w:themeColor="accent1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254061" w:themeColor="accent1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</w:rPr>
              <w:t>自理：华清宫往返电瓶车20元/人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</w:rPr>
              <w:t>骊山往返索道60元/人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7B17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龙吟轩分餐-秦小馔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4C7B6D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100418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</w:rPr>
              <w:t>华山主题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</w:rPr>
              <w:t>英雄宴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后入住酒店休息。</w:t>
            </w:r>
          </w:p>
        </w:tc>
      </w:tr>
      <w:tr w14:paraId="45BE5E1D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CD7D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  <w:lang w:val="en-US" w:eastAsia="zh-CN"/>
              </w:rPr>
              <w:t>.中餐特色升级本社自有餐厅龙吟轩分餐---《秦小馔》。</w:t>
            </w:r>
          </w:p>
          <w:p w14:paraId="665CD6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  <w:lang w:val="en-US" w:eastAsia="zh-CN"/>
              </w:rPr>
              <w:t>.赠送兵马俑华清池双景区讲解耳麦(不用费用不退)。</w:t>
            </w:r>
          </w:p>
          <w:p w14:paraId="68D1B7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cs="微软雅黑" w:eastAsiaTheme="minorEastAsia"/>
                <w:b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13305" cy="1493520"/>
                  <wp:effectExtent l="0" t="0" r="10795" b="1143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810" cy="14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bCs/>
                <w:kern w:val="0"/>
                <w:sz w:val="20"/>
                <w:szCs w:val="20"/>
              </w:rP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posOffset>4627880</wp:posOffset>
                  </wp:positionH>
                  <wp:positionV relativeFrom="paragraph">
                    <wp:posOffset>8255</wp:posOffset>
                  </wp:positionV>
                  <wp:extent cx="2211070" cy="1497330"/>
                  <wp:effectExtent l="0" t="0" r="17780" b="7620"/>
                  <wp:wrapNone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4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kern w:val="0"/>
                <w:sz w:val="20"/>
                <w:szCs w:val="20"/>
              </w:rPr>
              <w:drawing>
                <wp:anchor distT="0" distB="0" distL="0" distR="0" simplePos="0" relativeHeight="251661312" behindDoc="1" locked="0" layoutInCell="1" allowOverlap="1">
                  <wp:simplePos x="0" y="0"/>
                  <wp:positionH relativeFrom="column">
                    <wp:posOffset>2335530</wp:posOffset>
                  </wp:positionH>
                  <wp:positionV relativeFrom="paragraph">
                    <wp:posOffset>1270</wp:posOffset>
                  </wp:positionV>
                  <wp:extent cx="2275205" cy="1493520"/>
                  <wp:effectExtent l="0" t="0" r="10795" b="11430"/>
                  <wp:wrapTight wrapText="bothSides">
                    <wp:wrapPolygon>
                      <wp:start x="0" y="0"/>
                      <wp:lineTo x="0" y="21214"/>
                      <wp:lineTo x="21341" y="21214"/>
                      <wp:lineTo x="21341" y="0"/>
                      <wp:lineTo x="0" y="0"/>
                    </wp:wrapPolygon>
                  </wp:wrapTight>
                  <wp:docPr id="1" name="图片 1" descr="http://image.naic.org.cn/uploadfile/2018/0522/1526966593067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://image.naic.org.cn/uploadfile/2018/0522/1526966593067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5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</w:p>
        </w:tc>
      </w:tr>
      <w:tr w14:paraId="6D3DD0AF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788DA2"/>
            <w:vAlign w:val="center"/>
          </w:tcPr>
          <w:p w14:paraId="08140D59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西岳华山、大唐不夜城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788DA2"/>
          </w:tcPr>
          <w:p w14:paraId="6DBD74D8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3"/>
            <w:tcBorders>
              <w:tl2br w:val="nil"/>
              <w:tr2bl w:val="nil"/>
            </w:tcBorders>
            <w:shd w:val="clear" w:color="auto" w:fill="788DA2"/>
          </w:tcPr>
          <w:p w14:paraId="714A3D89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0422ECC2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942A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</w:rPr>
              <w:t>【西岳华山】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 w14:paraId="676065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可自费欣赏大型歌舞演出《西安千古情》298元/人起，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 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15E2B1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  <w:bookmarkStart w:id="0" w:name="_GoBack"/>
            <w:bookmarkEnd w:id="0"/>
          </w:p>
        </w:tc>
      </w:tr>
      <w:tr w14:paraId="6ED6644C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8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9C75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备注：华山索道现有两条（北峰索道和西峰索道），索道由客人根据个人体力情况自愿自费选择乘坐。</w:t>
            </w:r>
          </w:p>
          <w:p w14:paraId="78B2F8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现有以下三种乘坐方式供游客选择：</w:t>
            </w:r>
          </w:p>
          <w:p w14:paraId="135941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1/北峰往返150元/人，进山车40元/人；</w:t>
            </w:r>
          </w:p>
          <w:p w14:paraId="7608CA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2/西峰往返280元/人，进山车80元/人；</w:t>
            </w:r>
          </w:p>
          <w:p w14:paraId="7E0B2C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3/西峰上行北峰下行220元/人，进山车60元/人。</w:t>
            </w:r>
          </w:p>
        </w:tc>
      </w:tr>
      <w:tr w14:paraId="774E2362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D81D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【温馨提示】：</w:t>
            </w:r>
          </w:p>
          <w:p w14:paraId="2E42C4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 w14:paraId="3FFC24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2.大唐不夜城为赠送项目，此活动在参观完自费演出后统一安排前往，因大唐不夜城街区特殊性，我社将安排客人自由活动，导游和车辆等候1小时后回送酒店。（超1小时客人需自行返回酒店）</w:t>
            </w:r>
          </w:p>
          <w:p w14:paraId="41DDDA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（以导游实际推荐为准）：</w:t>
            </w:r>
          </w:p>
          <w:p w14:paraId="4804E3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《西安千古情》一生必看的演出。（自理298元起，演出约70分钟）</w:t>
            </w:r>
          </w:p>
          <w:p w14:paraId="3BAF61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2601CD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《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元，演出约70 钟）</w:t>
            </w:r>
          </w:p>
          <w:p w14:paraId="535152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b w:val="0"/>
                <w:bCs w:val="0"/>
                <w:kern w:val="0"/>
                <w:sz w:val="20"/>
                <w:szCs w:val="20"/>
              </w:rPr>
              <w:drawing>
                <wp:inline distT="0" distB="0" distL="0" distR="0">
                  <wp:extent cx="2254250" cy="1493520"/>
                  <wp:effectExtent l="0" t="0" r="1270" b="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491" cy="14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kern w:val="0"/>
                <w:sz w:val="20"/>
                <w:szCs w:val="20"/>
              </w:rPr>
              <w:drawing>
                <wp:inline distT="0" distB="0" distL="0" distR="0">
                  <wp:extent cx="2200275" cy="1473200"/>
                  <wp:effectExtent l="0" t="0" r="9525" b="12700"/>
                  <wp:docPr id="35" name="图片 35" descr="E:/F盘（办公用）/直客图片制作/各地图片/陕西/jpeg文件/华山 (23).jpg华山 (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E:/F盘（办公用）/直客图片制作/各地图片/陕西/jpeg文件/华山 (23).jpg华山 (2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402" r="2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521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kern w:val="0"/>
                <w:sz w:val="20"/>
                <w:szCs w:val="20"/>
              </w:rPr>
              <w:drawing>
                <wp:inline distT="0" distB="0" distL="0" distR="0">
                  <wp:extent cx="2162175" cy="1484630"/>
                  <wp:effectExtent l="0" t="0" r="9525" b="127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440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03F010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8569" w:type="dxa"/>
            <w:gridSpan w:val="5"/>
            <w:tcBorders>
              <w:tl2br w:val="nil"/>
              <w:tr2bl w:val="nil"/>
            </w:tcBorders>
            <w:shd w:val="clear" w:color="auto" w:fill="788DA2"/>
            <w:vAlign w:val="center"/>
          </w:tcPr>
          <w:p w14:paraId="4D9D660A">
            <w:pPr>
              <w:spacing w:line="300" w:lineRule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钟鼓楼广场、回民街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返程送站</w:t>
            </w:r>
          </w:p>
        </w:tc>
        <w:tc>
          <w:tcPr>
            <w:tcW w:w="1041" w:type="dxa"/>
            <w:gridSpan w:val="3"/>
            <w:tcBorders>
              <w:tl2br w:val="nil"/>
              <w:tr2bl w:val="nil"/>
            </w:tcBorders>
            <w:shd w:val="clear" w:color="auto" w:fill="788DA2"/>
          </w:tcPr>
          <w:p w14:paraId="0117728C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788DA2"/>
          </w:tcPr>
          <w:p w14:paraId="1753B6B6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5523CA41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05CF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2400FB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609CC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1EA11D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33C73D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392BA8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39D5B6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11430" b="5715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3810" b="5715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5715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4254BE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788DA2"/>
            <w:vAlign w:val="center"/>
          </w:tcPr>
          <w:p w14:paraId="631E83DE">
            <w:pPr>
              <w:spacing w:before="156" w:beforeLines="50"/>
              <w:jc w:val="center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270864642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270864642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6B8EE7D0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82A4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3B01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6B30E943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11D0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7D2D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全程正规营运手续空调旅游车（根据人数用车，保证每人一个正座）</w:t>
            </w:r>
          </w:p>
        </w:tc>
      </w:tr>
      <w:tr w14:paraId="0F9D8D56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8" w:hRule="atLeast"/>
        </w:trPr>
        <w:tc>
          <w:tcPr>
            <w:tcW w:w="1418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27BEB8">
            <w:pPr>
              <w:snapToGrid w:val="0"/>
              <w:jc w:val="center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9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7B4544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型</w:t>
            </w:r>
          </w:p>
          <w:p w14:paraId="6455E9CA">
            <w:pPr>
              <w:tabs>
                <w:tab w:val="left" w:pos="1260"/>
              </w:tabs>
              <w:snapToGrid w:val="0"/>
              <w:jc w:val="left"/>
              <w:rPr>
                <w:rFonts w:ascii="微软雅黑" w:hAnsi="微软雅黑" w:eastAsia="微软雅黑"/>
                <w:b/>
                <w:bCs w:val="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89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2BC1C5">
            <w:pPr>
              <w:snapToGrid w:val="0"/>
              <w:rPr>
                <w:rFonts w:ascii="微软雅黑" w:hAnsi="微软雅黑" w:eastAsia="微软雅黑"/>
                <w:b/>
                <w:bCs w:val="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</w:t>
            </w:r>
          </w:p>
        </w:tc>
      </w:tr>
      <w:tr w14:paraId="0312283B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BCF47B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9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F762AB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5432C3E0">
            <w:pPr>
              <w:snapToGrid w:val="0"/>
              <w:jc w:val="center"/>
              <w:rPr>
                <w:rFonts w:ascii="微软雅黑" w:hAnsi="微软雅黑" w:eastAsia="微软雅黑"/>
                <w:b/>
                <w:bCs w:val="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89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470E97">
            <w:pPr>
              <w:snapToGrid w:val="0"/>
              <w:rPr>
                <w:rFonts w:ascii="微软雅黑" w:hAnsi="微软雅黑" w:eastAsia="微软雅黑" w:cs="新宋体"/>
                <w:b/>
                <w:bCs w:val="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等同本地标准酒店；</w:t>
            </w:r>
          </w:p>
        </w:tc>
      </w:tr>
      <w:tr w14:paraId="5BEF1874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7A5A2E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9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46FD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华山</w:t>
            </w:r>
          </w:p>
          <w:p w14:paraId="58402A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-1" w:leftChars="-95" w:right="-59" w:rightChars="-28" w:hanging="198" w:hangingChars="90"/>
              <w:jc w:val="center"/>
              <w:textAlignment w:val="auto"/>
              <w:rPr>
                <w:rFonts w:hint="eastAsia" w:ascii="微软雅黑" w:hAnsi="微软雅黑" w:eastAsia="微软雅黑" w:cstheme="minorBidi"/>
                <w:b/>
                <w:bCs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89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F5058E">
            <w:pPr>
              <w:snapToGrid w:val="0"/>
              <w:rPr>
                <w:rFonts w:hint="eastAsia" w:ascii="微软雅黑" w:hAnsi="微软雅黑" w:eastAsia="微软雅黑" w:cs="新宋体"/>
                <w:b/>
                <w:bCs w:val="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舒适型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康盛、金穗、万源、华侨等同本地标准酒店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轻奢型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，都市花园，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，荣院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 w14:paraId="51D7D5F0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FB70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注：以上酒店均为参考酒店，也会安排参考以外的酒店，最终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684C89D7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60A9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3EFC85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376092" w:themeColor="accent1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早2正餐（早餐为酒店早餐，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秦小馔分餐或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自助餐/桌餐+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一餐英雄宴，其余均为常规团餐），</w:t>
            </w:r>
            <w:r>
              <w:rPr>
                <w:rFonts w:hint="eastAsia" w:ascii="微软雅黑" w:hAnsi="微软雅黑" w:eastAsia="微软雅黑"/>
                <w:b/>
                <w:bCs/>
                <w:color w:val="376092" w:themeColor="accent1" w:themeShade="BF"/>
                <w:kern w:val="0"/>
                <w:sz w:val="22"/>
                <w:szCs w:val="22"/>
              </w:rPr>
              <w:t>不用餐费用不退</w:t>
            </w:r>
          </w:p>
          <w:p w14:paraId="131F26C4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77933C" w:themeColor="accent3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C768E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</w:t>
            </w:r>
            <w:r>
              <w:rPr>
                <w:rFonts w:hint="eastAsia" w:ascii="微软雅黑" w:hAnsi="微软雅黑" w:eastAsia="微软雅黑"/>
                <w:b/>
                <w:bCs w:val="0"/>
                <w:color w:val="4C768E"/>
                <w:kern w:val="0"/>
                <w:sz w:val="22"/>
                <w:szCs w:val="22"/>
                <w:lang w:val="en-US" w:eastAsia="zh-CN"/>
              </w:rPr>
              <w:t>。</w:t>
            </w:r>
          </w:p>
        </w:tc>
      </w:tr>
      <w:tr w14:paraId="512A0FFB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A7E0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1EE134">
            <w:pPr>
              <w:snapToGrid w:val="0"/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2"/>
                <w:szCs w:val="22"/>
              </w:rPr>
            </w:pPr>
            <w:r>
              <w:rPr>
                <w:rFonts w:ascii="微软雅黑" w:hAnsi="微软雅黑" w:eastAsia="微软雅黑"/>
                <w:b/>
                <w:color w:val="376092" w:themeColor="accent1" w:themeShade="B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2"/>
                <w:szCs w:val="22"/>
              </w:rPr>
              <w:t>、华清宫、华山</w:t>
            </w:r>
          </w:p>
          <w:p w14:paraId="5521348C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07582CD8">
            <w:pPr>
              <w:snapToGrid w:val="0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738735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04B0AF24">
            <w:pPr>
              <w:pStyle w:val="3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1"/>
                <w:szCs w:val="21"/>
                <w:lang w:val="en-US" w:eastAsia="zh-CN" w:bidi="ar-SA"/>
              </w:rPr>
              <w:t>全程景区认可的免票证件退费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270元/人（其中兵马俑80，华清宫50，华山130，慈恩寺10）</w:t>
            </w:r>
          </w:p>
          <w:p w14:paraId="0FA01DCF">
            <w:pPr>
              <w:snapToGrid w:val="0"/>
              <w:rPr>
                <w:rFonts w:hint="default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1"/>
                <w:szCs w:val="21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90元/人（其中兵马俑30，华清宫10，华山50，慈恩寺0）</w:t>
            </w:r>
          </w:p>
        </w:tc>
      </w:tr>
      <w:tr w14:paraId="6BF9D4EC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E50A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8A7D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51EA6A76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1D59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79DE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旅游意外险（旅意险最高赔付为10万元，如需增加保额，请提前告知）</w:t>
            </w:r>
          </w:p>
        </w:tc>
      </w:tr>
      <w:tr w14:paraId="45DBBA4A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27C2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9A73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1F4751F8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2FBB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310F9F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6A707D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6D85EC42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107A5B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29C392">
            <w:pPr>
              <w:snapToGrid w:val="0"/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 xml:space="preserve">  </w:t>
            </w:r>
          </w:p>
          <w:p w14:paraId="37EDDA28">
            <w:pPr>
              <w:snapToGrid w:val="0"/>
              <w:rPr>
                <w:rFonts w:hint="eastAsia" w:ascii="微软雅黑" w:hAnsi="微软雅黑" w:eastAsia="微软雅黑" w:cs="Arial"/>
                <w:color w:val="376092" w:themeColor="accent1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华山索道交通：</w:t>
            </w:r>
            <w:r>
              <w:rPr>
                <w:rFonts w:hint="eastAsia" w:ascii="微软雅黑" w:hAnsi="微软雅黑" w:eastAsia="微软雅黑" w:cs="宋体"/>
                <w:b/>
                <w:color w:val="376092" w:themeColor="accent1" w:themeShade="BF"/>
                <w:kern w:val="0"/>
                <w:sz w:val="22"/>
                <w:szCs w:val="22"/>
              </w:rPr>
              <w:t>（三种乘坐方式供游客选择）</w:t>
            </w:r>
          </w:p>
          <w:p w14:paraId="2A750010">
            <w:pPr>
              <w:numPr>
                <w:ilvl w:val="0"/>
                <w:numId w:val="1"/>
              </w:numPr>
              <w:snapToGrid w:val="0"/>
              <w:spacing w:after="10"/>
              <w:rPr>
                <w:rFonts w:hint="eastAsia" w:ascii="微软雅黑" w:hAnsi="微软雅黑" w:eastAsia="微软雅黑" w:cs="宋体"/>
                <w:b w:val="0"/>
                <w:bCs/>
                <w:color w:val="376092" w:themeColor="accent1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color w:val="376092" w:themeColor="accent1" w:themeShade="BF"/>
                <w:kern w:val="0"/>
                <w:sz w:val="22"/>
                <w:szCs w:val="22"/>
              </w:rPr>
              <w:t>北峰往返150元/人，进山车40元/人。</w:t>
            </w:r>
          </w:p>
          <w:p w14:paraId="779D4504">
            <w:pPr>
              <w:numPr>
                <w:ilvl w:val="0"/>
                <w:numId w:val="1"/>
              </w:numPr>
              <w:snapToGrid w:val="0"/>
              <w:spacing w:after="10"/>
              <w:ind w:left="0" w:leftChars="0" w:firstLine="0" w:firstLineChars="0"/>
              <w:rPr>
                <w:rFonts w:hint="eastAsia" w:ascii="微软雅黑" w:hAnsi="微软雅黑" w:eastAsia="微软雅黑" w:cs="宋体"/>
                <w:b w:val="0"/>
                <w:bCs/>
                <w:color w:val="376092" w:themeColor="accent1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color w:val="376092" w:themeColor="accent1" w:themeShade="BF"/>
                <w:kern w:val="0"/>
                <w:sz w:val="22"/>
                <w:szCs w:val="22"/>
              </w:rPr>
              <w:t>西峰往返280元/人，进山车80元/</w:t>
            </w:r>
            <w:r>
              <w:rPr>
                <w:rFonts w:hint="eastAsia" w:ascii="微软雅黑" w:hAnsi="微软雅黑" w:eastAsia="微软雅黑" w:cs="宋体"/>
                <w:b w:val="0"/>
                <w:bCs/>
                <w:color w:val="376092" w:themeColor="accent1" w:themeShade="BF"/>
                <w:kern w:val="0"/>
                <w:sz w:val="22"/>
                <w:szCs w:val="22"/>
                <w:lang w:eastAsia="zh-CN"/>
              </w:rPr>
              <w:t>人。</w:t>
            </w:r>
          </w:p>
          <w:p w14:paraId="04B71325">
            <w:pPr>
              <w:numPr>
                <w:ilvl w:val="0"/>
                <w:numId w:val="1"/>
              </w:numPr>
              <w:snapToGrid w:val="0"/>
              <w:spacing w:after="10"/>
              <w:ind w:left="0" w:leftChars="0" w:firstLine="0" w:firstLineChars="0"/>
              <w:rPr>
                <w:rFonts w:hint="eastAsia" w:ascii="微软雅黑" w:hAnsi="微软雅黑" w:eastAsia="微软雅黑" w:cs="宋体"/>
                <w:b w:val="0"/>
                <w:bCs/>
                <w:color w:val="376092" w:themeColor="accent1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color w:val="376092" w:themeColor="accent1" w:themeShade="BF"/>
                <w:kern w:val="0"/>
                <w:sz w:val="22"/>
                <w:szCs w:val="22"/>
              </w:rPr>
              <w:t>西峰上行北峰下行220元/人，进山车60元/人。</w:t>
            </w:r>
          </w:p>
          <w:p w14:paraId="5D474B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5A784A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1C6F2C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23A7C775">
            <w:pPr>
              <w:numPr>
                <w:ilvl w:val="0"/>
                <w:numId w:val="0"/>
              </w:numPr>
              <w:snapToGrid w:val="0"/>
              <w:spacing w:after="10"/>
              <w:ind w:leftChars="0"/>
              <w:rPr>
                <w:rFonts w:hint="eastAsia" w:ascii="微软雅黑" w:hAnsi="微软雅黑" w:eastAsia="微软雅黑" w:cs="宋体"/>
                <w:b/>
                <w:color w:val="77933C" w:themeColor="accent3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27583FB1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A312A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6F32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1.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（自理298-398元，演出70分钟）</w:t>
            </w:r>
          </w:p>
          <w:p w14:paraId="38A511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元，演出约70 钟）</w:t>
            </w:r>
          </w:p>
          <w:p w14:paraId="278D8B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3.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元，演出约 70 钟）</w:t>
            </w:r>
          </w:p>
          <w:p w14:paraId="08A5C1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4.《秦俑情》大型史事舞台剧（自理258元起，演出约70分钟）</w:t>
            </w:r>
          </w:p>
          <w:p w14:paraId="718FF8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5.《探秘沉睡的帝陵》一场打破时空界限的探险之旅。（自理188元，约30分钟）</w:t>
            </w:r>
          </w:p>
          <w:p w14:paraId="5D852E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6. 兵马俑XR体验剧--《兵马俑奇妙夜》一场独一无二的视听盛宴。（自理138元，约20分钟）</w:t>
            </w:r>
          </w:p>
          <w:p w14:paraId="6580FA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1239B14B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1C92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 w14:paraId="5BC911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B386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4A3EFA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3CB4C6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4331B7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1D2F8217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2837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95AD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53662EA4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1794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A8C8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（6岁以上须提前补票）、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6E45D868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5C8C0D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29776654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D92257">
            <w:pPr>
              <w:snapToGrid w:val="0"/>
              <w:rPr>
                <w:rFonts w:ascii="微软雅黑" w:hAnsi="微软雅黑" w:eastAsia="微软雅黑" w:cs="Arial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  <w:lang w:val="en-US" w:eastAsia="zh-CN"/>
              </w:rPr>
              <w:t>持相应有效优惠证件，当地产生优惠门票，导游优惠折扣现退。</w:t>
            </w:r>
          </w:p>
          <w:p w14:paraId="64D0F306">
            <w:pPr>
              <w:snapToGrid w:val="0"/>
              <w:rPr>
                <w:rFonts w:ascii="微软雅黑" w:hAnsi="微软雅黑" w:eastAsia="微软雅黑" w:cs="Arial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半票对象：全日制学生，持本人已在校注册的有效学生证；儿童身高1.2-1.4米为半票。</w:t>
            </w:r>
          </w:p>
          <w:p w14:paraId="3320DFE3">
            <w:pPr>
              <w:snapToGrid w:val="0"/>
              <w:rPr>
                <w:rFonts w:ascii="微软雅黑" w:hAnsi="微软雅黑" w:eastAsia="微软雅黑" w:cs="Arial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免票对象：</w:t>
            </w:r>
          </w:p>
          <w:p w14:paraId="57A8D142">
            <w:pPr>
              <w:snapToGrid w:val="0"/>
              <w:rPr>
                <w:rFonts w:ascii="微软雅黑" w:hAnsi="微软雅黑" w:eastAsia="微软雅黑" w:cs="Arial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0"/>
                <w:szCs w:val="20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1.2米以下免票。</w:t>
            </w:r>
          </w:p>
          <w:p w14:paraId="58FC62DD">
            <w:pPr>
              <w:snapToGrid w:val="0"/>
              <w:rPr>
                <w:rFonts w:ascii="微软雅黑" w:hAnsi="微软雅黑" w:eastAsia="微软雅黑" w:cs="Arial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0"/>
                <w:szCs w:val="20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65周岁以上持本人有效身份证免票。</w:t>
            </w:r>
          </w:p>
          <w:p w14:paraId="526C5F90">
            <w:pPr>
              <w:snapToGrid w:val="0"/>
              <w:rPr>
                <w:rFonts w:ascii="微软雅黑" w:hAnsi="微软雅黑" w:eastAsia="微软雅黑" w:cs="Arial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0"/>
                <w:szCs w:val="20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持有效残疾证、现役军人（军官）证免票。</w:t>
            </w:r>
          </w:p>
          <w:p w14:paraId="44D5AE08">
            <w:pPr>
              <w:snapToGrid w:val="0"/>
              <w:rPr>
                <w:rFonts w:ascii="微软雅黑" w:hAnsi="微软雅黑" w:eastAsia="微软雅黑" w:cs="Arial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0"/>
                <w:szCs w:val="20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16岁及以下未成年人免票。</w:t>
            </w:r>
          </w:p>
        </w:tc>
      </w:tr>
      <w:tr w14:paraId="34437FA2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788DA2"/>
            <w:vAlign w:val="center"/>
          </w:tcPr>
          <w:p w14:paraId="37D57671"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29A84F41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03C8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763BCD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419AC4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3、西安大部分酒店无法提供三人间或加床，如遇自然单人住一间房，须按提前抵达或延住的房价补付房差。</w:t>
            </w:r>
          </w:p>
          <w:p w14:paraId="64FE01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789CC5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79B644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5C3B9D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7、因人力不可抗拒因素造成的滞留及产生的费用由客人自理（如飞机/火车延误、自然灾害等）。</w:t>
            </w:r>
          </w:p>
          <w:p w14:paraId="0B5769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63AB74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9、旅行社不推荐游客参加人身安全不确定的活动，如游客擅自行动而产生的后果，旅行社不承担责任。</w:t>
            </w:r>
          </w:p>
          <w:p w14:paraId="2066C2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629E8C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11、报名时请提供旅游者的真实姓名与常用手机号，以便工作人员及时联系。建议游客自行购买意外保险。</w:t>
            </w:r>
          </w:p>
          <w:p w14:paraId="115D17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73EA34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13、雨季天气时请注意各景区的路况。餐厅用餐及酒店沐浴时，请注意地面，小心滑倒！</w:t>
            </w:r>
          </w:p>
        </w:tc>
      </w:tr>
    </w:tbl>
    <w:p w14:paraId="65BABE2D">
      <w:pPr>
        <w:spacing w:line="300" w:lineRule="auto"/>
      </w:pPr>
    </w:p>
    <w:sectPr>
      <w:headerReference r:id="rId3" w:type="default"/>
      <w:pgSz w:w="11906" w:h="16838"/>
      <w:pgMar w:top="1134" w:right="1797" w:bottom="384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EA37A3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-546100</wp:posOffset>
          </wp:positionV>
          <wp:extent cx="7574915" cy="10707370"/>
          <wp:effectExtent l="0" t="0" r="6985" b="11430"/>
          <wp:wrapNone/>
          <wp:docPr id="5" name="图片 5" descr="论剑华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论剑华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915" cy="10707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4FEA657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51450" cy="7423150"/>
          <wp:effectExtent l="0" t="0" r="6350" b="6350"/>
          <wp:docPr id="3" name="图片 3" descr="论剑华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论剑华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51450" cy="7423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8617D7">
    <w:pPr>
      <w:pStyle w:val="4"/>
      <w:pBdr>
        <w:bottom w:val="none" w:color="auto" w:sz="0" w:space="1"/>
      </w:pBdr>
      <w:jc w:val="both"/>
    </w:pPr>
  </w:p>
  <w:p w14:paraId="64E44E71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74310" cy="7458075"/>
          <wp:effectExtent l="0" t="0" r="13970" b="9525"/>
          <wp:docPr id="2" name="图片 2" descr="9f4d14c58be3ca75d9749883243fc3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9f4d14c58be3ca75d9749883243fc3e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4310" cy="745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B06776">
    <w:pPr>
      <w:pStyle w:val="4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070852"/>
    <w:multiLevelType w:val="singleLevel"/>
    <w:tmpl w:val="8407085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52676"/>
    <w:rsid w:val="00060B42"/>
    <w:rsid w:val="0006123A"/>
    <w:rsid w:val="0006192D"/>
    <w:rsid w:val="000B67C0"/>
    <w:rsid w:val="000C2FDA"/>
    <w:rsid w:val="000C3DD7"/>
    <w:rsid w:val="000C51A1"/>
    <w:rsid w:val="000F1EE9"/>
    <w:rsid w:val="00100FCC"/>
    <w:rsid w:val="00106D18"/>
    <w:rsid w:val="001400AE"/>
    <w:rsid w:val="00145FA4"/>
    <w:rsid w:val="0015629B"/>
    <w:rsid w:val="00192E85"/>
    <w:rsid w:val="001A0A92"/>
    <w:rsid w:val="001A1C3F"/>
    <w:rsid w:val="001C336A"/>
    <w:rsid w:val="001D7D9B"/>
    <w:rsid w:val="001F6437"/>
    <w:rsid w:val="00200D36"/>
    <w:rsid w:val="00236EB4"/>
    <w:rsid w:val="002711C4"/>
    <w:rsid w:val="00271866"/>
    <w:rsid w:val="0028259D"/>
    <w:rsid w:val="00283C8A"/>
    <w:rsid w:val="002B08CD"/>
    <w:rsid w:val="002B5F8A"/>
    <w:rsid w:val="002C2D6F"/>
    <w:rsid w:val="002E4672"/>
    <w:rsid w:val="002F1D08"/>
    <w:rsid w:val="00353581"/>
    <w:rsid w:val="003A5048"/>
    <w:rsid w:val="003C01D0"/>
    <w:rsid w:val="003C3D24"/>
    <w:rsid w:val="003C4573"/>
    <w:rsid w:val="003D3FD3"/>
    <w:rsid w:val="003E0FF1"/>
    <w:rsid w:val="003F5B82"/>
    <w:rsid w:val="004135FF"/>
    <w:rsid w:val="00425F49"/>
    <w:rsid w:val="00431943"/>
    <w:rsid w:val="00445B80"/>
    <w:rsid w:val="00456DC0"/>
    <w:rsid w:val="004632C7"/>
    <w:rsid w:val="004822F5"/>
    <w:rsid w:val="00487BA3"/>
    <w:rsid w:val="004B040D"/>
    <w:rsid w:val="004B6D9A"/>
    <w:rsid w:val="004F5472"/>
    <w:rsid w:val="00501F58"/>
    <w:rsid w:val="005101E6"/>
    <w:rsid w:val="00552BC6"/>
    <w:rsid w:val="0058033C"/>
    <w:rsid w:val="00581320"/>
    <w:rsid w:val="00592903"/>
    <w:rsid w:val="005B7AAA"/>
    <w:rsid w:val="005C36CB"/>
    <w:rsid w:val="005C7995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64EC2"/>
    <w:rsid w:val="00666237"/>
    <w:rsid w:val="006674B8"/>
    <w:rsid w:val="00690CFA"/>
    <w:rsid w:val="006B106C"/>
    <w:rsid w:val="006F04CC"/>
    <w:rsid w:val="00701B32"/>
    <w:rsid w:val="00717A78"/>
    <w:rsid w:val="00746CD5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E12DC"/>
    <w:rsid w:val="008F7ABB"/>
    <w:rsid w:val="00913D15"/>
    <w:rsid w:val="00914445"/>
    <w:rsid w:val="009730D4"/>
    <w:rsid w:val="0097351D"/>
    <w:rsid w:val="0098097C"/>
    <w:rsid w:val="009A6152"/>
    <w:rsid w:val="009D260B"/>
    <w:rsid w:val="009E47D7"/>
    <w:rsid w:val="009E587D"/>
    <w:rsid w:val="009E780F"/>
    <w:rsid w:val="00A412D7"/>
    <w:rsid w:val="00A50E7C"/>
    <w:rsid w:val="00A56604"/>
    <w:rsid w:val="00A6358A"/>
    <w:rsid w:val="00A70B65"/>
    <w:rsid w:val="00AA4417"/>
    <w:rsid w:val="00AB15F7"/>
    <w:rsid w:val="00AB3F43"/>
    <w:rsid w:val="00AB54C8"/>
    <w:rsid w:val="00AB5794"/>
    <w:rsid w:val="00AE61C1"/>
    <w:rsid w:val="00AF6582"/>
    <w:rsid w:val="00B34E09"/>
    <w:rsid w:val="00B448E6"/>
    <w:rsid w:val="00B800C2"/>
    <w:rsid w:val="00BB632B"/>
    <w:rsid w:val="00BF32D3"/>
    <w:rsid w:val="00BF3A53"/>
    <w:rsid w:val="00C0624A"/>
    <w:rsid w:val="00C24333"/>
    <w:rsid w:val="00C35E92"/>
    <w:rsid w:val="00C668BB"/>
    <w:rsid w:val="00C83C39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A1BFC"/>
    <w:rsid w:val="00DC0502"/>
    <w:rsid w:val="00DC60A1"/>
    <w:rsid w:val="00E009AE"/>
    <w:rsid w:val="00E23560"/>
    <w:rsid w:val="00E23FD1"/>
    <w:rsid w:val="00E241B9"/>
    <w:rsid w:val="00E3768C"/>
    <w:rsid w:val="00E403B9"/>
    <w:rsid w:val="00E80AF2"/>
    <w:rsid w:val="00EB076C"/>
    <w:rsid w:val="00F03241"/>
    <w:rsid w:val="00F04CAA"/>
    <w:rsid w:val="00F338B4"/>
    <w:rsid w:val="00F71666"/>
    <w:rsid w:val="00FD5FBB"/>
    <w:rsid w:val="00FD7B20"/>
    <w:rsid w:val="01260E98"/>
    <w:rsid w:val="017240DE"/>
    <w:rsid w:val="018B1C01"/>
    <w:rsid w:val="0315330B"/>
    <w:rsid w:val="033A6F68"/>
    <w:rsid w:val="037B196F"/>
    <w:rsid w:val="077C3EAE"/>
    <w:rsid w:val="084D296D"/>
    <w:rsid w:val="09C06F76"/>
    <w:rsid w:val="0B161F7E"/>
    <w:rsid w:val="0BC57CAD"/>
    <w:rsid w:val="0BC83278"/>
    <w:rsid w:val="0C796C68"/>
    <w:rsid w:val="0DA61A19"/>
    <w:rsid w:val="0DAB6C5D"/>
    <w:rsid w:val="0DD906FA"/>
    <w:rsid w:val="0E684ED5"/>
    <w:rsid w:val="118D6651"/>
    <w:rsid w:val="121D1664"/>
    <w:rsid w:val="14757D15"/>
    <w:rsid w:val="14B17BBC"/>
    <w:rsid w:val="15751405"/>
    <w:rsid w:val="15FD49BB"/>
    <w:rsid w:val="17442DB9"/>
    <w:rsid w:val="17671D8A"/>
    <w:rsid w:val="185B57A0"/>
    <w:rsid w:val="18AC4F64"/>
    <w:rsid w:val="19A2494F"/>
    <w:rsid w:val="19DB483D"/>
    <w:rsid w:val="1A516B2E"/>
    <w:rsid w:val="1B18764C"/>
    <w:rsid w:val="1B8027C9"/>
    <w:rsid w:val="1E302D63"/>
    <w:rsid w:val="203F0BE9"/>
    <w:rsid w:val="20A21E92"/>
    <w:rsid w:val="20DC1DEF"/>
    <w:rsid w:val="23B1063E"/>
    <w:rsid w:val="266E11E2"/>
    <w:rsid w:val="2A642D8F"/>
    <w:rsid w:val="2C820DC9"/>
    <w:rsid w:val="2CF209B3"/>
    <w:rsid w:val="2E2A1DE5"/>
    <w:rsid w:val="2E976DAE"/>
    <w:rsid w:val="2EA21FEE"/>
    <w:rsid w:val="2EDD4F80"/>
    <w:rsid w:val="32171FB4"/>
    <w:rsid w:val="34DF14AF"/>
    <w:rsid w:val="36630CAB"/>
    <w:rsid w:val="36A24542"/>
    <w:rsid w:val="36A75EC6"/>
    <w:rsid w:val="382E21C7"/>
    <w:rsid w:val="3B732951"/>
    <w:rsid w:val="3BCA042F"/>
    <w:rsid w:val="3C98441C"/>
    <w:rsid w:val="3E337B34"/>
    <w:rsid w:val="3E8A23EC"/>
    <w:rsid w:val="3F333DDF"/>
    <w:rsid w:val="3F6D68C7"/>
    <w:rsid w:val="402E4186"/>
    <w:rsid w:val="411E1851"/>
    <w:rsid w:val="42755200"/>
    <w:rsid w:val="443C572C"/>
    <w:rsid w:val="44A1052F"/>
    <w:rsid w:val="453B44DF"/>
    <w:rsid w:val="457742C4"/>
    <w:rsid w:val="473700A5"/>
    <w:rsid w:val="49543DC1"/>
    <w:rsid w:val="4A821A7D"/>
    <w:rsid w:val="4B06733D"/>
    <w:rsid w:val="4DAB1AD6"/>
    <w:rsid w:val="4FC450D1"/>
    <w:rsid w:val="504306EC"/>
    <w:rsid w:val="51A94A57"/>
    <w:rsid w:val="52125EBD"/>
    <w:rsid w:val="53513120"/>
    <w:rsid w:val="55283B29"/>
    <w:rsid w:val="559F454F"/>
    <w:rsid w:val="577065E8"/>
    <w:rsid w:val="595076F4"/>
    <w:rsid w:val="59BF49B0"/>
    <w:rsid w:val="5A317F5E"/>
    <w:rsid w:val="5BA00AE1"/>
    <w:rsid w:val="5BFF72D5"/>
    <w:rsid w:val="5C7F1226"/>
    <w:rsid w:val="5CF35248"/>
    <w:rsid w:val="5F914C54"/>
    <w:rsid w:val="5FE61E85"/>
    <w:rsid w:val="5FF46B6C"/>
    <w:rsid w:val="61403562"/>
    <w:rsid w:val="62111973"/>
    <w:rsid w:val="62C3746A"/>
    <w:rsid w:val="634439AF"/>
    <w:rsid w:val="63663B99"/>
    <w:rsid w:val="64140E5C"/>
    <w:rsid w:val="652C507F"/>
    <w:rsid w:val="68C82DF2"/>
    <w:rsid w:val="68E22E58"/>
    <w:rsid w:val="6AC457F4"/>
    <w:rsid w:val="6AED2603"/>
    <w:rsid w:val="6D06135E"/>
    <w:rsid w:val="6D6830E8"/>
    <w:rsid w:val="6D6954E0"/>
    <w:rsid w:val="6E31797E"/>
    <w:rsid w:val="6EF72976"/>
    <w:rsid w:val="6F1C062E"/>
    <w:rsid w:val="722F68CA"/>
    <w:rsid w:val="738F5872"/>
    <w:rsid w:val="74444B18"/>
    <w:rsid w:val="74C87AA3"/>
    <w:rsid w:val="74E514C2"/>
    <w:rsid w:val="75F53987"/>
    <w:rsid w:val="76CF49FD"/>
    <w:rsid w:val="775A395B"/>
    <w:rsid w:val="79782905"/>
    <w:rsid w:val="7A031EA0"/>
    <w:rsid w:val="7AB03A59"/>
    <w:rsid w:val="7AEE7C8C"/>
    <w:rsid w:val="7C933BEE"/>
    <w:rsid w:val="7CDE33C7"/>
    <w:rsid w:val="7E8769F7"/>
    <w:rsid w:val="7EBC3294"/>
    <w:rsid w:val="7F8D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png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F5548-B6AA-4333-9A7A-C6429F7EDF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6</Pages>
  <Words>5313</Words>
  <Characters>5464</Characters>
  <Lines>33</Lines>
  <Paragraphs>9</Paragraphs>
  <TotalTime>0</TotalTime>
  <ScaleCrop>false</ScaleCrop>
  <LinksUpToDate>false</LinksUpToDate>
  <CharactersWithSpaces>5706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2020-04-25T03:52:00Z</cp:lastPrinted>
  <dcterms:modified xsi:type="dcterms:W3CDTF">2025-08-25T08:00:10Z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6E195FBC0056436FA5753050C9C4C75D_13</vt:lpwstr>
  </property>
  <property fmtid="{D5CDD505-2E9C-101B-9397-08002B2CF9AE}" pid="4" name="KSOTemplateDocerSaveRecord">
    <vt:lpwstr>eyJoZGlkIjoiZTc5YjQ3Yzk0YzMxZWQ0MWRmZDY4YmU3YjkyZjU1ZDYiLCJ1c2VySWQiOiIyNzA2MDQ4NSJ9</vt:lpwstr>
  </property>
</Properties>
</file>