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-1156970</wp:posOffset>
            </wp:positionH>
            <wp:positionV relativeFrom="paragraph">
              <wp:posOffset>-914400</wp:posOffset>
            </wp:positionV>
            <wp:extent cx="7574280" cy="10692765"/>
            <wp:effectExtent l="0" t="0" r="0" b="5715"/>
            <wp:wrapTight wrapText="bothSides">
              <wp:wrapPolygon>
                <wp:start x="0" y="0"/>
                <wp:lineTo x="0" y="21581"/>
                <wp:lineTo x="21557" y="21581"/>
                <wp:lineTo x="21557" y="0"/>
                <wp:lineTo x="0" y="0"/>
              </wp:wrapPolygon>
            </wp:wrapTight>
            <wp:docPr id="1" name="图片 1" descr="C:\Users\Administrator\Desktop\诗里长安首页图.jpg诗里长安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诗里长安首页图.jpg诗里长安首页图"/>
                    <pic:cNvPicPr>
                      <a:picLocks noChangeAspect="1"/>
                    </pic:cNvPicPr>
                  </pic:nvPicPr>
                  <pic:blipFill>
                    <a:blip r:embed="rId5"/>
                    <a:srcRect/>
                    <a:stretch>
                      <a:fillRect/>
                    </a:stretch>
                  </pic:blipFill>
                  <pic:spPr>
                    <a:xfrm>
                      <a:off x="0" y="0"/>
                      <a:ext cx="7574280" cy="10692765"/>
                    </a:xfrm>
                    <a:prstGeom prst="rect">
                      <a:avLst/>
                    </a:prstGeom>
                  </pic:spPr>
                </pic:pic>
              </a:graphicData>
            </a:graphic>
          </wp:anchor>
        </w:drawing>
      </w:r>
    </w:p>
    <w:p>
      <w:r>
        <w:rPr>
          <w:rFonts w:hint="eastAsia" w:ascii="楷体" w:hAnsi="楷体" w:eastAsia="楷体" w:cs="楷体"/>
          <w:b/>
          <w:sz w:val="4"/>
          <w:lang w:eastAsia="zh-CN"/>
        </w:rPr>
        <w:drawing>
          <wp:anchor distT="0" distB="0" distL="114935" distR="114935" simplePos="0" relativeHeight="251662336" behindDoc="0" locked="0" layoutInCell="1" allowOverlap="1">
            <wp:simplePos x="0" y="0"/>
            <wp:positionH relativeFrom="column">
              <wp:posOffset>-1137285</wp:posOffset>
            </wp:positionH>
            <wp:positionV relativeFrom="paragraph">
              <wp:posOffset>-919480</wp:posOffset>
            </wp:positionV>
            <wp:extent cx="7567295" cy="10735945"/>
            <wp:effectExtent l="0" t="0" r="14605" b="8255"/>
            <wp:wrapNone/>
            <wp:docPr id="5" name="图片 5" descr="4d17146737e7a241aee2358838bb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17146737e7a241aee2358838bb329"/>
                    <pic:cNvPicPr>
                      <a:picLocks noChangeAspect="1"/>
                    </pic:cNvPicPr>
                  </pic:nvPicPr>
                  <pic:blipFill>
                    <a:blip r:embed="rId6"/>
                    <a:stretch>
                      <a:fillRect/>
                    </a:stretch>
                  </pic:blipFill>
                  <pic:spPr>
                    <a:xfrm>
                      <a:off x="0" y="0"/>
                      <a:ext cx="7567295" cy="10735945"/>
                    </a:xfrm>
                    <a:prstGeom prst="rect">
                      <a:avLst/>
                    </a:prstGeom>
                  </pic:spPr>
                </pic:pic>
              </a:graphicData>
            </a:graphic>
          </wp:anchor>
        </w:drawing>
      </w:r>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ascii="楷体" w:hAnsi="楷体" w:eastAsia="楷体" w:cs="楷体"/>
          <w:b/>
          <w:sz w:val="4"/>
          <w:lang w:eastAsia="zh-CN"/>
        </w:rPr>
        <w:drawing>
          <wp:anchor distT="0" distB="0" distL="114935" distR="114935" simplePos="0" relativeHeight="251663360" behindDoc="0" locked="0" layoutInCell="1" allowOverlap="1">
            <wp:simplePos x="0" y="0"/>
            <wp:positionH relativeFrom="column">
              <wp:posOffset>-1141095</wp:posOffset>
            </wp:positionH>
            <wp:positionV relativeFrom="paragraph">
              <wp:posOffset>-955675</wp:posOffset>
            </wp:positionV>
            <wp:extent cx="7646670" cy="10756900"/>
            <wp:effectExtent l="0" t="0" r="11430" b="6350"/>
            <wp:wrapNone/>
            <wp:docPr id="7" name="图片 7" descr="c659b2dc5e6fe6dd5ae21cd1c4fc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659b2dc5e6fe6dd5ae21cd1c4fc67a"/>
                    <pic:cNvPicPr>
                      <a:picLocks noChangeAspect="1"/>
                    </pic:cNvPicPr>
                  </pic:nvPicPr>
                  <pic:blipFill>
                    <a:blip r:embed="rId7"/>
                    <a:stretch>
                      <a:fillRect/>
                    </a:stretch>
                  </pic:blipFill>
                  <pic:spPr>
                    <a:xfrm>
                      <a:off x="0" y="0"/>
                      <a:ext cx="7646670" cy="1075690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bl>
      <w:tblPr>
        <w:tblStyle w:val="6"/>
        <w:tblpPr w:leftFromText="180" w:rightFromText="180" w:vertAnchor="text" w:horzAnchor="page" w:tblpX="419" w:tblpY="203"/>
        <w:tblOverlap w:val="never"/>
        <w:tblW w:w="11050"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0" w:type="dxa"/>
          <w:bottom w:w="0" w:type="dxa"/>
          <w:right w:w="0" w:type="dxa"/>
        </w:tblCellMar>
      </w:tblPr>
      <w:tblGrid>
        <w:gridCol w:w="1159"/>
        <w:gridCol w:w="736"/>
        <w:gridCol w:w="4701"/>
        <w:gridCol w:w="769"/>
        <w:gridCol w:w="956"/>
        <w:gridCol w:w="900"/>
        <w:gridCol w:w="1829"/>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895"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lang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9155"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672" w:hRule="atLeast"/>
          <w:jc w:val="center"/>
        </w:trPr>
        <w:tc>
          <w:tcPr>
            <w:tcW w:w="110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895"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9155"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858" w:hRule="atLeast"/>
          <w:jc w:val="center"/>
        </w:trPr>
        <w:tc>
          <w:tcPr>
            <w:tcW w:w="1105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秦始皇和他的地下王国</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或大型环幕电影【始皇传奇】</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sz w:val="24"/>
                <w:szCs w:val="24"/>
                <w:lang w:eastAsia="zh-CN"/>
              </w:rPr>
              <w:t>兵马俑华清宫</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21" w:hRule="atLeast"/>
          <w:jc w:val="center"/>
        </w:trPr>
        <w:tc>
          <w:tcPr>
            <w:tcW w:w="1895"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9155"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10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color w:val="000000" w:themeColor="text1"/>
                <w:sz w:val="24"/>
                <w:szCs w:val="24"/>
                <w14:textFill>
                  <w14:solidFill>
                    <w14:schemeClr w14:val="tx1"/>
                  </w14:solidFill>
                </w14:textFill>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全程无忧旅程，游玩只是开始，体验更在途中…</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10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50" w:hRule="atLeast"/>
          <w:jc w:val="center"/>
        </w:trPr>
        <w:tc>
          <w:tcPr>
            <w:tcW w:w="1895"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9155"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1" w:hRule="atLeast"/>
          <w:jc w:val="center"/>
        </w:trPr>
        <w:tc>
          <w:tcPr>
            <w:tcW w:w="1159"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82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5" w:hRule="atLeast"/>
          <w:jc w:val="center"/>
        </w:trPr>
        <w:tc>
          <w:tcPr>
            <w:tcW w:w="1159"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1"/>
              <w:rPr>
                <w:rFonts w:hint="eastAsia" w:ascii="微软雅黑" w:hAnsi="微软雅黑" w:eastAsia="微软雅黑" w:cs="微软雅黑"/>
                <w:b w:val="0"/>
                <w:bCs w:val="0"/>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1"/>
              <w:jc w:val="center"/>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829"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48" w:hRule="atLeast"/>
          <w:jc w:val="center"/>
        </w:trPr>
        <w:tc>
          <w:tcPr>
            <w:tcW w:w="1159"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1"/>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兵马俑--华清池-3D巨幕电影或3D环幕电影</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829"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159"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829"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1050" w:type="dxa"/>
            <w:gridSpan w:val="7"/>
            <w:tcBorders>
              <w:tl2br w:val="nil"/>
              <w:tr2bl w:val="nil"/>
            </w:tcBorders>
            <w:shd w:val="clear" w:color="auto" w:fill="F3F3F3"/>
            <w:noWrap w:val="0"/>
            <w:vAlign w:val="top"/>
          </w:tcPr>
          <w:tbl>
            <w:tblPr>
              <w:tblStyle w:val="6"/>
              <w:tblpPr w:leftFromText="180" w:rightFromText="180" w:vertAnchor="text" w:horzAnchor="page" w:tblpX="-14" w:tblpY="155"/>
              <w:tblOverlap w:val="never"/>
              <w:tblW w:w="11035" w:type="dxa"/>
              <w:tblInd w:w="0" w:type="dxa"/>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
            <w:tblGrid>
              <w:gridCol w:w="1244"/>
              <w:gridCol w:w="5508"/>
              <w:gridCol w:w="1632"/>
              <w:gridCol w:w="2651"/>
            </w:tblGrid>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1" w:hRule="atLeast"/>
              </w:trPr>
              <w:tc>
                <w:tcPr>
                  <w:tcW w:w="1244"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四川--西安</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651"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1" w:hRule="atLeast"/>
              </w:trPr>
              <w:tc>
                <w:tcPr>
                  <w:tcW w:w="11035"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8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根据动车或高铁时间，乘动车前往十三朝古都西安，司机接团后入住酒店休息。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32" w:hRule="atLeast"/>
              </w:trPr>
              <w:tc>
                <w:tcPr>
                  <w:tcW w:w="1244"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兵马俑--华清池--大唐不夜城--3D或环幕电影</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651"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463" w:hRule="atLeast"/>
              </w:trPr>
              <w:tc>
                <w:tcPr>
                  <w:tcW w:w="11035"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80" w:firstLineChars="200"/>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w:t>
                  </w:r>
                  <w:r>
                    <w:rPr>
                      <w:rFonts w:hint="eastAsia" w:ascii="微软雅黑" w:hAnsi="微软雅黑" w:eastAsia="微软雅黑" w:cs="微软雅黑"/>
                      <w:color w:val="000000" w:themeColor="text1"/>
                      <w:sz w:val="24"/>
                      <w:szCs w:val="24"/>
                      <w:lang w:eastAsia="zh-CN"/>
                      <w14:textFill>
                        <w14:solidFill>
                          <w14:schemeClr w14:val="tx1"/>
                        </w14:solidFill>
                      </w14:textFill>
                    </w:rPr>
                    <w:t>观看</w:t>
                  </w:r>
                  <w:r>
                    <w:rPr>
                      <w:rFonts w:hint="eastAsia" w:ascii="微软雅黑" w:hAnsi="微软雅黑" w:eastAsia="微软雅黑" w:cs="微软雅黑"/>
                      <w:color w:val="000000" w:themeColor="text1"/>
                      <w:sz w:val="24"/>
                      <w:szCs w:val="24"/>
                      <w14:textFill>
                        <w14:solidFill>
                          <w14:schemeClr w14:val="tx1"/>
                        </w14:solidFill>
                      </w14:textFill>
                    </w:rPr>
                    <w:t>大型3D环幕电影</w:t>
                  </w:r>
                  <w:r>
                    <w:rPr>
                      <w:rFonts w:hint="eastAsia" w:ascii="微软雅黑" w:hAnsi="微软雅黑" w:eastAsia="微软雅黑" w:cs="微软雅黑"/>
                      <w:b/>
                      <w:color w:val="FF0000"/>
                      <w:sz w:val="24"/>
                      <w:szCs w:val="24"/>
                    </w:rPr>
                    <w:t>【始皇传奇】</w:t>
                  </w:r>
                  <w:r>
                    <w:rPr>
                      <w:rFonts w:hint="eastAsia" w:ascii="微软雅黑" w:hAnsi="微软雅黑" w:eastAsia="微软雅黑" w:cs="微软雅黑"/>
                      <w:b/>
                      <w:color w:val="FF0000"/>
                      <w:sz w:val="24"/>
                      <w:szCs w:val="24"/>
                      <w:lang w:eastAsia="zh-CN"/>
                    </w:rPr>
                    <w:t>。</w:t>
                  </w:r>
                </w:p>
                <w:p>
                  <w:pPr>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eastAsia="zh-CN"/>
                    </w:rPr>
                    <w:t>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333333"/>
                      <w:sz w:val="24"/>
                      <w:szCs w:val="24"/>
                      <w:lang w:eastAsia="zh-CN"/>
                    </w:rPr>
                    <w:t>返回西安。</w:t>
                  </w:r>
                  <w:r>
                    <w:rPr>
                      <w:rFonts w:hint="eastAsia" w:ascii="微软雅黑" w:hAnsi="微软雅黑" w:eastAsia="微软雅黑" w:cs="微软雅黑"/>
                      <w:bCs/>
                      <w:color w:val="333333"/>
                      <w:sz w:val="24"/>
                      <w:szCs w:val="24"/>
                      <w:lang w:val="en-US" w:eastAsia="zh-CN"/>
                    </w:rPr>
                    <w:t xml:space="preserve">  </w:t>
                  </w:r>
                </w:p>
                <w:p>
                  <w:pPr>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2"/>
                      <w:szCs w:val="22"/>
                      <w:lang w:eastAsia="zh-CN"/>
                    </w:rPr>
                    <w:drawing>
                      <wp:inline distT="0" distB="0" distL="114300" distR="114300">
                        <wp:extent cx="6646545" cy="1556385"/>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646545" cy="1556385"/>
                                </a:xfrm>
                                <a:prstGeom prst="rect">
                                  <a:avLst/>
                                </a:prstGeom>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308" w:hRule="atLeast"/>
              </w:trPr>
              <w:tc>
                <w:tcPr>
                  <w:tcW w:w="11035"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bCs/>
                      <w:color w:val="843C0B" w:themeColor="accent2" w:themeShade="80"/>
                      <w:sz w:val="21"/>
                      <w:szCs w:val="21"/>
                      <w:lang w:eastAsia="zh-CN"/>
                    </w:rPr>
                    <w:t>参考</w:t>
                  </w:r>
                  <w:r>
                    <w:rPr>
                      <w:rFonts w:hint="eastAsia" w:ascii="微软雅黑" w:hAnsi="微软雅黑" w:eastAsia="微软雅黑" w:cs="微软雅黑"/>
                      <w:b/>
                      <w:bCs/>
                      <w:color w:val="843C0B" w:themeColor="accent2" w:themeShade="80"/>
                      <w:sz w:val="21"/>
                      <w:szCs w:val="21"/>
                    </w:rPr>
                    <w:t>：</w:t>
                  </w:r>
                  <w:r>
                    <w:rPr>
                      <w:rFonts w:hint="eastAsia" w:ascii="微软雅黑" w:hAnsi="微软雅黑" w:eastAsia="微软雅黑" w:cs="微软雅黑"/>
                      <w:b w:val="0"/>
                      <w:bCs w:val="0"/>
                      <w:color w:val="843C0B" w:themeColor="accent2" w:themeShade="80"/>
                      <w:sz w:val="21"/>
                      <w:szCs w:val="21"/>
                      <w:lang w:val="en-US" w:eastAsia="zh-CN"/>
                    </w:rPr>
                    <w:t>（具体演出以导游实际推荐为准，实际价格以当天为准，不参加敬请等待团友参观结束一起返程）</w:t>
                  </w:r>
                  <w:r>
                    <w:rPr>
                      <w:rFonts w:hint="eastAsia" w:ascii="微软雅黑" w:hAnsi="微软雅黑" w:eastAsia="微软雅黑" w:cs="微软雅黑"/>
                      <w:kern w:val="2"/>
                      <w:sz w:val="21"/>
                      <w:szCs w:val="21"/>
                      <w:lang w:val="en-US" w:eastAsia="zh-CN"/>
                    </w:rPr>
                    <w:t xml:space="preserve">1.《驼铃传奇》会跑的大型实景演艺（自理298元，演出约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2.《复活的军团》大型沉浸式战争史剧（自理298元，演出约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120BF"/>
                      <w:sz w:val="21"/>
                      <w:szCs w:val="21"/>
                      <w:lang w:val="en-US" w:eastAsia="zh-CN"/>
                    </w:rPr>
                    <w:t>（如果特色餐食临时无法安排，则改为同标准桌餐等）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b w:val="0"/>
                      <w:bCs w:val="0"/>
                      <w:color w:val="0120BF"/>
                      <w:sz w:val="21"/>
                      <w:szCs w:val="21"/>
                      <w:lang w:val="en-US" w:eastAsia="zh-CN"/>
                    </w:rPr>
                    <w:t xml:space="preserve">1、华清池景区电瓶车自理20元/人,骊山往返索道60元/人自理,兵马俑景区电瓶车自理5元/人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422" w:leftChars="0" w:hanging="1422" w:hangingChars="677"/>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bCs/>
                      <w:color w:val="843C0B" w:themeColor="accent2" w:themeShade="80"/>
                      <w:sz w:val="21"/>
                      <w:szCs w:val="21"/>
                      <w:lang w:val="en-US" w:eastAsia="zh-CN"/>
                    </w:rPr>
                    <w:t>特别说明：</w:t>
                  </w:r>
                  <w:r>
                    <w:rPr>
                      <w:rFonts w:hint="eastAsia" w:ascii="微软雅黑" w:hAnsi="微软雅黑" w:eastAsia="微软雅黑" w:cs="微软雅黑"/>
                      <w:sz w:val="21"/>
                      <w:szCs w:val="21"/>
                      <w:lang w:val="en-US" w:eastAsia="zh-CN"/>
                    </w:rPr>
                    <w:t>大唐不夜城为赠送项目，此活动在参观完自费演出后统一安排前往，因大唐不夜城街区特殊性，游客朋友在大唐不夜城为自由活动。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244"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大雁塔</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钟鼓楼广场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回民街</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p>
              </w:tc>
              <w:tc>
                <w:tcPr>
                  <w:tcW w:w="2651"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103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themeColor="text1"/>
                      <w:sz w:val="24"/>
                      <w:szCs w:val="24"/>
                      <w14:textFill>
                        <w14:solidFill>
                          <w14:schemeClr w14:val="tx1"/>
                        </w14:solidFill>
                      </w14:textFill>
                    </w:rPr>
                    <w:t>早餐后</w:t>
                  </w:r>
                  <w:r>
                    <w:rPr>
                      <w:rFonts w:hint="eastAsia" w:ascii="微软雅黑" w:hAnsi="微软雅黑" w:eastAsia="微软雅黑" w:cs="微软雅黑"/>
                      <w:color w:val="000000" w:themeColor="text1"/>
                      <w:sz w:val="24"/>
                      <w:szCs w:val="24"/>
                      <w:lang w:eastAsia="zh-CN"/>
                      <w14:textFill>
                        <w14:solidFill>
                          <w14:schemeClr w14:val="tx1"/>
                        </w14:solidFill>
                      </w14:textFill>
                    </w:rPr>
                    <w:t>游览：</w:t>
                  </w:r>
                  <w:r>
                    <w:rPr>
                      <w:rFonts w:hint="eastAsia" w:ascii="微软雅黑" w:hAnsi="微软雅黑" w:eastAsia="微软雅黑" w:cs="微软雅黑"/>
                      <w:color w:val="000000" w:themeColor="text1"/>
                      <w:sz w:val="24"/>
                      <w:szCs w:val="24"/>
                      <w14:textFill>
                        <w14:solidFill>
                          <w14:schemeClr w14:val="tx1"/>
                        </w14:solidFill>
                      </w14:textFill>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color w:val="000000" w:themeColor="text1"/>
                      <w:sz w:val="24"/>
                      <w:szCs w:val="24"/>
                      <w14:textFill>
                        <w14:solidFill>
                          <w14:schemeClr w14:val="tx1"/>
                        </w14:solidFill>
                      </w14:textFill>
                    </w:rPr>
                    <w:t>（约2小时，），拂尘净心，守望长安1300余年的大雁塔就坐落于此（登塔自理30元/人</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期间鉴赏—【玄奘法师塑像】</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寻觅当年取经路上的奇幻故事，远观唐玄奘法师译经所在地—大雁塔</w:t>
                  </w:r>
                  <w:r>
                    <w:rPr>
                      <w:rFonts w:hint="eastAsia" w:ascii="微软雅黑" w:hAnsi="微软雅黑" w:eastAsia="微软雅黑" w:cs="微软雅黑"/>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抵达回民小吃仿古一条街--</w:t>
                  </w:r>
                  <w:r>
                    <w:rPr>
                      <w:rFonts w:hint="eastAsia" w:ascii="微软雅黑" w:hAnsi="微软雅黑" w:eastAsia="微软雅黑" w:cs="微软雅黑"/>
                      <w:b/>
                      <w:bCs/>
                      <w:color w:val="FF0000"/>
                      <w:sz w:val="24"/>
                      <w:szCs w:val="24"/>
                    </w:rPr>
                    <w:t>【回民街】</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游览西安市中心地标—</w:t>
                  </w:r>
                  <w:r>
                    <w:rPr>
                      <w:rFonts w:hint="eastAsia" w:ascii="微软雅黑" w:hAnsi="微软雅黑" w:eastAsia="微软雅黑" w:cs="微软雅黑"/>
                      <w:b/>
                      <w:bCs/>
                      <w:color w:val="FF0000"/>
                      <w:sz w:val="24"/>
                      <w:szCs w:val="24"/>
                    </w:rPr>
                    <w:t>【钟鼓楼广场】</w:t>
                  </w:r>
                  <w:r>
                    <w:rPr>
                      <w:rFonts w:hint="eastAsia" w:ascii="微软雅黑" w:hAnsi="微软雅黑" w:eastAsia="微软雅黑" w:cs="微软雅黑"/>
                      <w:color w:val="000000" w:themeColor="text1"/>
                      <w:sz w:val="24"/>
                      <w:szCs w:val="24"/>
                      <w14:textFill>
                        <w14:solidFill>
                          <w14:schemeClr w14:val="tx1"/>
                        </w14:solidFill>
                      </w14:textFill>
                    </w:rPr>
                    <w:t>，感受“晨钟暮鼓”；漫步于最具西北少数民族特色的—【回民坊小吃步行街】，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17612C"/>
                      <w:sz w:val="24"/>
                      <w:szCs w:val="24"/>
                      <w:lang w:val="en-US" w:eastAsia="zh-CN"/>
                    </w:rPr>
                  </w:pPr>
                  <w:r>
                    <w:rPr>
                      <w:rFonts w:hint="eastAsia" w:ascii="微软雅黑" w:hAnsi="微软雅黑" w:eastAsia="微软雅黑" w:cs="微软雅黑"/>
                      <w:color w:val="17612C"/>
                      <w:sz w:val="24"/>
                      <w:szCs w:val="24"/>
                      <w:lang w:val="en-US" w:eastAsia="zh-CN"/>
                    </w:rPr>
                    <w:t>中餐自理，告别以往的团餐，想吃什么由您做主，可自行品尝300种特色小吃，柳枝羊肉串、贾三灌汤包子、老米家羊肉泡馍、东南亚甄糕、麻酱凉皮、黄桂柿子饼、 水盆羊肉、卤汁凉粉 这些充满烟火气息的小店，才是吃货们的追逐之地...</w:t>
                  </w:r>
                </w:p>
                <w:p>
                  <w:pPr>
                    <w:pStyle w:val="2"/>
                    <w:rPr>
                      <w:rFonts w:hint="eastAsia"/>
                      <w:lang w:val="en-US" w:eastAsia="zh-CN"/>
                    </w:rPr>
                  </w:pP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drawing>
                      <wp:anchor distT="0" distB="0" distL="114300" distR="114300" simplePos="0" relativeHeight="251661312" behindDoc="0" locked="0" layoutInCell="1" allowOverlap="1">
                        <wp:simplePos x="0" y="0"/>
                        <wp:positionH relativeFrom="column">
                          <wp:posOffset>-27305</wp:posOffset>
                        </wp:positionH>
                        <wp:positionV relativeFrom="paragraph">
                          <wp:posOffset>412115</wp:posOffset>
                        </wp:positionV>
                        <wp:extent cx="7016115" cy="1325880"/>
                        <wp:effectExtent l="0" t="0" r="0" b="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9"/>
                                <a:srcRect/>
                                <a:stretch>
                                  <a:fillRect/>
                                </a:stretch>
                              </pic:blipFill>
                              <pic:spPr>
                                <a:xfrm>
                                  <a:off x="0" y="0"/>
                                  <a:ext cx="7016115" cy="1325880"/>
                                </a:xfrm>
                                <a:prstGeom prst="rect">
                                  <a:avLst/>
                                </a:prstGeom>
                              </pic:spPr>
                            </pic:pic>
                          </a:graphicData>
                        </a:graphic>
                      </wp:anchor>
                    </w:drawing>
                  </w: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参观完毕后，送站返程，全部行程结束！</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547" w:tblpY="236"/>
        <w:tblOverlap w:val="never"/>
        <w:tblW w:w="11030"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108" w:type="dxa"/>
          <w:bottom w:w="0" w:type="dxa"/>
          <w:right w:w="108" w:type="dxa"/>
        </w:tblCellMar>
      </w:tblPr>
      <w:tblGrid>
        <w:gridCol w:w="1000"/>
        <w:gridCol w:w="10030"/>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654" w:hRule="atLeast"/>
          <w:jc w:val="center"/>
        </w:trPr>
        <w:tc>
          <w:tcPr>
            <w:tcW w:w="11030" w:type="dxa"/>
            <w:gridSpan w:val="2"/>
            <w:tcBorders>
              <w:tl2br w:val="nil"/>
              <w:tr2bl w:val="nil"/>
            </w:tcBorders>
            <w:shd w:val="clear" w:color="auto" w:fill="823B0B" w:themeFill="accent2" w:themeFillShade="7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36"/>
                <w:szCs w:val="28"/>
              </w:rPr>
              <w:t>接</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待</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标</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56" w:hRule="atLeast"/>
          <w:jc w:val="center"/>
        </w:trPr>
        <w:tc>
          <w:tcPr>
            <w:tcW w:w="1000" w:type="dxa"/>
            <w:tcBorders>
              <w:tl2br w:val="nil"/>
              <w:tr2bl w:val="nil"/>
            </w:tcBorders>
            <w:shd w:val="clear" w:color="auto" w:fill="F1F1F1" w:themeFill="background1" w:themeFillShade="F2"/>
            <w:noWrap w:val="0"/>
            <w:vAlign w:val="center"/>
          </w:tcPr>
          <w:p>
            <w:pPr>
              <w:autoSpaceDE w:val="0"/>
              <w:autoSpaceDN w:val="0"/>
              <w:snapToGrid w:val="0"/>
              <w:jc w:val="center"/>
              <w:rPr>
                <w:rFonts w:hint="eastAsia" w:ascii="微软雅黑" w:hAnsi="微软雅黑" w:eastAsia="微软雅黑" w:cs="微软雅黑"/>
                <w:b/>
                <w:bCs/>
                <w:kern w:val="0"/>
                <w:sz w:val="24"/>
                <w:szCs w:val="24"/>
                <w:lang w:val="en-US" w:eastAsia="zh-CN" w:bidi="zh-CN"/>
              </w:rPr>
            </w:pPr>
            <w:r>
              <w:rPr>
                <w:rFonts w:hint="eastAsia" w:ascii="微软雅黑" w:hAnsi="微软雅黑" w:eastAsia="微软雅黑" w:cs="微软雅黑"/>
                <w:b/>
                <w:bCs/>
                <w:kern w:val="0"/>
                <w:sz w:val="24"/>
                <w:szCs w:val="24"/>
                <w:lang w:val="en-US" w:eastAsia="zh-CN" w:bidi="zh-CN"/>
              </w:rPr>
              <w:t>交通</w:t>
            </w:r>
          </w:p>
        </w:tc>
        <w:tc>
          <w:tcPr>
            <w:tcW w:w="1003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zh-CN" w:eastAsia="zh-CN" w:bidi="zh-CN"/>
              </w:rPr>
            </w:pPr>
            <w:r>
              <w:rPr>
                <w:rFonts w:hint="eastAsia" w:ascii="微软雅黑" w:hAnsi="微软雅黑" w:eastAsia="微软雅黑" w:cs="微软雅黑"/>
                <w:color w:val="auto"/>
                <w:kern w:val="0"/>
                <w:sz w:val="22"/>
                <w:szCs w:val="22"/>
                <w:lang w:val="en-US" w:eastAsia="zh-CN" w:bidi="zh-CN"/>
              </w:rPr>
              <w:t>① 四川各地出发到西安北的往返动车二等座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auto"/>
                <w:kern w:val="0"/>
                <w:sz w:val="22"/>
                <w:szCs w:val="22"/>
                <w:lang w:val="zh-CN" w:eastAsia="zh-CN" w:bidi="zh-CN"/>
              </w:rPr>
              <w:t>②</w:t>
            </w:r>
            <w:r>
              <w:rPr>
                <w:rFonts w:hint="eastAsia" w:ascii="微软雅黑" w:hAnsi="微软雅黑" w:eastAsia="微软雅黑" w:cs="微软雅黑"/>
                <w:color w:val="auto"/>
                <w:kern w:val="0"/>
                <w:sz w:val="22"/>
                <w:szCs w:val="22"/>
                <w:lang w:val="en-US" w:eastAsia="zh-CN" w:bidi="zh-CN"/>
              </w:rPr>
              <w:t xml:space="preserve"> </w:t>
            </w:r>
            <w:r>
              <w:rPr>
                <w:rFonts w:hint="eastAsia" w:ascii="微软雅黑" w:hAnsi="微软雅黑" w:eastAsia="微软雅黑" w:cs="微软雅黑"/>
                <w:color w:val="auto"/>
                <w:kern w:val="0"/>
                <w:sz w:val="22"/>
                <w:szCs w:val="22"/>
                <w:lang w:val="zh-CN" w:eastAsia="zh-CN" w:bidi="zh-CN"/>
              </w:rPr>
              <w:t>全程正规营运手续空调旅游车（根据人数用车，保证每人（</w:t>
            </w:r>
            <w:r>
              <w:rPr>
                <w:rFonts w:hint="eastAsia" w:ascii="微软雅黑" w:hAnsi="微软雅黑" w:eastAsia="微软雅黑" w:cs="微软雅黑"/>
                <w:color w:val="auto"/>
                <w:kern w:val="0"/>
                <w:sz w:val="22"/>
                <w:szCs w:val="22"/>
                <w:lang w:val="en-US" w:eastAsia="zh-CN" w:bidi="zh-CN"/>
              </w:rPr>
              <w:t>含婴</w:t>
            </w:r>
            <w:r>
              <w:rPr>
                <w:rFonts w:hint="eastAsia" w:ascii="微软雅黑" w:hAnsi="微软雅黑" w:eastAsia="微软雅黑" w:cs="微软雅黑"/>
                <w:color w:val="auto"/>
                <w:kern w:val="0"/>
                <w:sz w:val="22"/>
                <w:szCs w:val="22"/>
                <w:lang w:val="zh-CN" w:eastAsia="zh-CN" w:bidi="zh-CN"/>
              </w:rPr>
              <w:t>）一正座）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505" w:hRule="atLeast"/>
          <w:jc w:val="center"/>
        </w:trPr>
        <w:tc>
          <w:tcPr>
            <w:tcW w:w="1000" w:type="dxa"/>
            <w:tcBorders>
              <w:tl2br w:val="nil"/>
              <w:tr2bl w:val="nil"/>
            </w:tcBorders>
            <w:shd w:val="clear" w:color="auto" w:fill="F1F1F1" w:themeFill="background1" w:themeFillShade="F2"/>
            <w:noWrap w:val="0"/>
            <w:vAlign w:val="center"/>
          </w:tcPr>
          <w:p>
            <w:pPr>
              <w:autoSpaceDE w:val="0"/>
              <w:autoSpaceDN w:val="0"/>
              <w:snapToGrid w:val="0"/>
              <w:jc w:val="center"/>
              <w:rPr>
                <w:rFonts w:hint="eastAsia" w:ascii="微软雅黑" w:hAnsi="微软雅黑" w:eastAsia="微软雅黑" w:cs="微软雅黑"/>
                <w:b/>
                <w:bCs/>
                <w:kern w:val="0"/>
                <w:sz w:val="24"/>
                <w:szCs w:val="24"/>
                <w:lang w:val="en-US" w:eastAsia="zh-CN" w:bidi="zh-CN"/>
              </w:rPr>
            </w:pPr>
            <w:r>
              <w:rPr>
                <w:rFonts w:hint="eastAsia" w:ascii="微软雅黑" w:hAnsi="微软雅黑" w:eastAsia="微软雅黑" w:cs="微软雅黑"/>
                <w:b/>
                <w:bCs/>
                <w:kern w:val="0"/>
                <w:sz w:val="24"/>
                <w:szCs w:val="24"/>
                <w:lang w:val="en-US" w:eastAsia="zh-CN" w:bidi="zh-CN"/>
              </w:rPr>
              <w:t>用餐</w:t>
            </w:r>
          </w:p>
        </w:tc>
        <w:tc>
          <w:tcPr>
            <w:tcW w:w="10030" w:type="dxa"/>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color w:val="auto"/>
                <w:kern w:val="0"/>
                <w:sz w:val="22"/>
                <w:szCs w:val="22"/>
                <w:lang w:val="en-US" w:eastAsia="zh-CN" w:bidi="zh-CN"/>
              </w:rPr>
              <w:t xml:space="preserve">全程2早餐1正餐（正餐十人一桌、八菜一汤，包含1个特色餐、不用餐者餐费不退） </w:t>
            </w:r>
            <w:r>
              <w:rPr>
                <w:rFonts w:hint="eastAsia" w:ascii="微软雅黑" w:hAnsi="微软雅黑" w:eastAsia="微软雅黑" w:cs="微软雅黑"/>
                <w:color w:val="0000FF"/>
                <w:kern w:val="0"/>
                <w:sz w:val="22"/>
                <w:szCs w:val="22"/>
                <w:lang w:val="en-US" w:eastAsia="zh-CN" w:bidi="zh-CN"/>
              </w:rPr>
              <w:t>（特色餐如临时无法安排则改为同标准桌餐）</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1516" w:hRule="atLeast"/>
          <w:jc w:val="center"/>
        </w:trPr>
        <w:tc>
          <w:tcPr>
            <w:tcW w:w="1000" w:type="dxa"/>
            <w:vMerge w:val="restart"/>
            <w:tcBorders>
              <w:tl2br w:val="nil"/>
              <w:tr2bl w:val="nil"/>
            </w:tcBorders>
            <w:shd w:val="clear" w:color="auto" w:fill="F1F1F1" w:themeFill="background1" w:themeFillShade="F2"/>
            <w:noWrap w:val="0"/>
            <w:vAlign w:val="center"/>
          </w:tcPr>
          <w:p>
            <w:pPr>
              <w:autoSpaceDE w:val="0"/>
              <w:autoSpaceDN w:val="0"/>
              <w:snapToGrid w:val="0"/>
              <w:jc w:val="center"/>
              <w:rPr>
                <w:rFonts w:hint="eastAsia" w:ascii="微软雅黑" w:hAnsi="微软雅黑" w:eastAsia="微软雅黑" w:cs="微软雅黑"/>
                <w:b/>
                <w:bCs/>
                <w:kern w:val="0"/>
                <w:sz w:val="24"/>
                <w:szCs w:val="24"/>
                <w:lang w:val="en-US" w:eastAsia="zh-CN" w:bidi="zh-CN"/>
              </w:rPr>
            </w:pPr>
            <w:r>
              <w:rPr>
                <w:rFonts w:hint="eastAsia" w:ascii="微软雅黑" w:hAnsi="微软雅黑" w:eastAsia="微软雅黑" w:cs="微软雅黑"/>
                <w:b/>
                <w:bCs/>
                <w:kern w:val="0"/>
                <w:sz w:val="24"/>
                <w:szCs w:val="24"/>
                <w:lang w:val="en-US" w:eastAsia="zh-CN" w:bidi="zh-CN"/>
              </w:rPr>
              <w:t>西安</w:t>
            </w:r>
          </w:p>
          <w:p>
            <w:pPr>
              <w:autoSpaceDE w:val="0"/>
              <w:autoSpaceDN w:val="0"/>
              <w:snapToGrid w:val="0"/>
              <w:jc w:val="center"/>
              <w:rPr>
                <w:rFonts w:hint="eastAsia" w:ascii="微软雅黑" w:hAnsi="微软雅黑" w:eastAsia="微软雅黑" w:cs="微软雅黑"/>
                <w:b/>
                <w:bCs/>
                <w:kern w:val="0"/>
                <w:sz w:val="24"/>
                <w:szCs w:val="24"/>
                <w:lang w:val="en-US" w:eastAsia="zh-CN" w:bidi="zh-CN"/>
              </w:rPr>
            </w:pPr>
            <w:r>
              <w:rPr>
                <w:rFonts w:hint="eastAsia" w:ascii="微软雅黑" w:hAnsi="微软雅黑" w:eastAsia="微软雅黑" w:cs="微软雅黑"/>
                <w:b/>
                <w:bCs/>
                <w:kern w:val="0"/>
                <w:sz w:val="24"/>
                <w:szCs w:val="24"/>
                <w:lang w:val="en-US" w:eastAsia="zh-CN" w:bidi="zh-CN"/>
              </w:rPr>
              <w:t>酒店</w:t>
            </w:r>
          </w:p>
        </w:tc>
        <w:tc>
          <w:tcPr>
            <w:tcW w:w="1003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kern w:val="0"/>
                <w:sz w:val="22"/>
                <w:szCs w:val="22"/>
                <w:lang w:val="en-US" w:eastAsia="zh-CN" w:bidi="zh-CN"/>
              </w:rPr>
            </w:pPr>
            <w:r>
              <w:rPr>
                <w:rFonts w:hint="eastAsia" w:ascii="微软雅黑" w:hAnsi="微软雅黑" w:eastAsia="微软雅黑" w:cs="微软雅黑"/>
                <w:b w:val="0"/>
                <w:bCs w:val="0"/>
                <w:color w:val="auto"/>
                <w:kern w:val="0"/>
                <w:sz w:val="22"/>
                <w:szCs w:val="22"/>
                <w:lang w:val="en-US" w:eastAsia="zh-CN" w:bidi="zh-CN"/>
              </w:rPr>
              <w:t>舒适参考酒店（准三）：科逸连锁酒店、索性酒店、金瑞大酒店、圣林酒店、格林豪泰酒店、左洛酒店、天亿酒店、申鹏酒店、壹宿酒店、卡尔道夫酒店、高阁酒店、曼卡顿酒店、圣凯罗酒店、双益酒店、魁星酒店、兰装宾馆、群英会酒店或同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b w:val="0"/>
                <w:bCs w:val="0"/>
                <w:color w:val="auto"/>
                <w:kern w:val="0"/>
                <w:sz w:val="22"/>
                <w:szCs w:val="22"/>
                <w:lang w:val="en-US" w:eastAsia="zh-CN" w:bidi="zh-CN"/>
              </w:rPr>
              <w:t>轻奢参考酒店（准四）：川渝大酒店、四季玉兰酒店、景玉智能火车站店、加雅酒店、文景路全季酒店、锐思特酒店、威尔佳酒店、古雅酒店  民幸精品酒店、速八精选酒店或同</w:t>
            </w:r>
            <w:r>
              <w:rPr>
                <w:rFonts w:hint="eastAsia" w:ascii="微软雅黑" w:hAnsi="微软雅黑" w:eastAsia="微软雅黑" w:cs="微软雅黑"/>
                <w:color w:val="auto"/>
                <w:kern w:val="0"/>
                <w:sz w:val="22"/>
                <w:szCs w:val="22"/>
                <w:lang w:val="en-US" w:eastAsia="zh-CN" w:bidi="zh-CN"/>
              </w:rPr>
              <w:t>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74" w:hRule="atLeast"/>
          <w:jc w:val="center"/>
        </w:trPr>
        <w:tc>
          <w:tcPr>
            <w:tcW w:w="1000" w:type="dxa"/>
            <w:vMerge w:val="continue"/>
            <w:tcBorders>
              <w:tl2br w:val="nil"/>
              <w:tr2bl w:val="nil"/>
            </w:tcBorders>
            <w:shd w:val="clear" w:color="auto" w:fill="F1F1F1" w:themeFill="background1" w:themeFillShade="F2"/>
            <w:noWrap w:val="0"/>
            <w:vAlign w:val="center"/>
          </w:tcPr>
          <w:p>
            <w:pPr>
              <w:autoSpaceDE w:val="0"/>
              <w:autoSpaceDN w:val="0"/>
              <w:snapToGrid w:val="0"/>
              <w:jc w:val="center"/>
              <w:rPr>
                <w:rFonts w:hint="eastAsia" w:ascii="微软雅黑" w:hAnsi="微软雅黑" w:eastAsia="微软雅黑" w:cs="微软雅黑"/>
                <w:b/>
                <w:bCs/>
                <w:kern w:val="0"/>
                <w:sz w:val="24"/>
                <w:szCs w:val="24"/>
                <w:lang w:val="en-US" w:eastAsia="zh-CN" w:bidi="zh-CN"/>
              </w:rPr>
            </w:pPr>
          </w:p>
        </w:tc>
        <w:tc>
          <w:tcPr>
            <w:tcW w:w="1003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以上仅是参考酒店，会安排参考酒店外的同标准酒店，以最终实际安排为准。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90" w:hRule="atLeast"/>
          <w:jc w:val="center"/>
        </w:trPr>
        <w:tc>
          <w:tcPr>
            <w:tcW w:w="1000" w:type="dxa"/>
            <w:tcBorders>
              <w:tl2br w:val="nil"/>
              <w:tr2bl w:val="nil"/>
            </w:tcBorders>
            <w:shd w:val="clear" w:color="auto" w:fill="F1F1F1" w:themeFill="background1" w:themeFillShade="F2"/>
            <w:noWrap w:val="0"/>
            <w:vAlign w:val="center"/>
          </w:tcPr>
          <w:p>
            <w:pPr>
              <w:autoSpaceDE w:val="0"/>
              <w:autoSpaceDN w:val="0"/>
              <w:snapToGrid w:val="0"/>
              <w:jc w:val="center"/>
              <w:rPr>
                <w:rFonts w:hint="eastAsia" w:ascii="微软雅黑" w:hAnsi="微软雅黑" w:eastAsia="微软雅黑" w:cs="微软雅黑"/>
                <w:b/>
                <w:bCs/>
                <w:kern w:val="0"/>
                <w:sz w:val="24"/>
                <w:szCs w:val="24"/>
                <w:lang w:val="en-US" w:eastAsia="zh-CN" w:bidi="zh-CN"/>
              </w:rPr>
            </w:pPr>
            <w:r>
              <w:rPr>
                <w:rFonts w:hint="eastAsia" w:ascii="微软雅黑" w:hAnsi="微软雅黑" w:eastAsia="微软雅黑" w:cs="微软雅黑"/>
                <w:b/>
                <w:bCs/>
                <w:kern w:val="0"/>
                <w:sz w:val="24"/>
                <w:szCs w:val="24"/>
                <w:lang w:val="en-US" w:eastAsia="zh-CN" w:bidi="zh-CN"/>
              </w:rPr>
              <w:t>门票</w:t>
            </w:r>
          </w:p>
        </w:tc>
        <w:tc>
          <w:tcPr>
            <w:tcW w:w="1003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zh-CN" w:eastAsia="zh-CN" w:bidi="zh-CN"/>
              </w:rPr>
            </w:pPr>
            <w:r>
              <w:rPr>
                <w:rFonts w:hint="eastAsia" w:ascii="微软雅黑" w:hAnsi="微软雅黑" w:eastAsia="微软雅黑" w:cs="微软雅黑"/>
                <w:color w:val="auto"/>
                <w:kern w:val="0"/>
                <w:sz w:val="22"/>
                <w:szCs w:val="22"/>
                <w:lang w:val="en-US" w:eastAsia="zh-CN" w:bidi="zh-CN"/>
              </w:rPr>
              <w:t>只含首道景点大门票，景区配套设施请自理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90" w:hRule="atLeast"/>
          <w:jc w:val="center"/>
        </w:trPr>
        <w:tc>
          <w:tcPr>
            <w:tcW w:w="1000" w:type="dxa"/>
            <w:tcBorders>
              <w:tl2br w:val="nil"/>
              <w:tr2bl w:val="nil"/>
            </w:tcBorders>
            <w:shd w:val="clear" w:color="auto" w:fill="F1F1F1" w:themeFill="background1" w:themeFillShade="F2"/>
            <w:noWrap w:val="0"/>
            <w:vAlign w:val="center"/>
          </w:tcPr>
          <w:p>
            <w:pPr>
              <w:autoSpaceDE w:val="0"/>
              <w:autoSpaceDN w:val="0"/>
              <w:snapToGrid w:val="0"/>
              <w:jc w:val="center"/>
              <w:rPr>
                <w:rFonts w:hint="eastAsia" w:ascii="微软雅黑" w:hAnsi="微软雅黑" w:eastAsia="微软雅黑" w:cs="微软雅黑"/>
                <w:b/>
                <w:bCs/>
                <w:kern w:val="0"/>
                <w:sz w:val="24"/>
                <w:szCs w:val="24"/>
                <w:lang w:val="en-US" w:eastAsia="zh-CN" w:bidi="zh-CN"/>
              </w:rPr>
            </w:pPr>
            <w:r>
              <w:rPr>
                <w:rFonts w:hint="eastAsia" w:ascii="微软雅黑" w:hAnsi="微软雅黑" w:eastAsia="微软雅黑" w:cs="微软雅黑"/>
                <w:b/>
                <w:bCs/>
                <w:kern w:val="0"/>
                <w:sz w:val="24"/>
                <w:szCs w:val="24"/>
                <w:lang w:val="en-US" w:eastAsia="zh-CN" w:bidi="zh-CN"/>
              </w:rPr>
              <w:t>导服</w:t>
            </w:r>
          </w:p>
        </w:tc>
        <w:tc>
          <w:tcPr>
            <w:tcW w:w="1003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优秀持证导游分段服务，接送站无导游。</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324" w:hRule="atLeast"/>
          <w:jc w:val="center"/>
        </w:trPr>
        <w:tc>
          <w:tcPr>
            <w:tcW w:w="1000" w:type="dxa"/>
            <w:tcBorders>
              <w:tl2br w:val="nil"/>
              <w:tr2bl w:val="nil"/>
            </w:tcBorders>
            <w:shd w:val="clear" w:color="auto" w:fill="F1F1F1" w:themeFill="background1" w:themeFillShade="F2"/>
            <w:noWrap w:val="0"/>
            <w:vAlign w:val="center"/>
          </w:tcPr>
          <w:p>
            <w:pPr>
              <w:autoSpaceDE w:val="0"/>
              <w:autoSpaceDN w:val="0"/>
              <w:snapToGrid w:val="0"/>
              <w:jc w:val="center"/>
              <w:rPr>
                <w:rFonts w:hint="eastAsia" w:ascii="微软雅黑" w:hAnsi="微软雅黑" w:eastAsia="微软雅黑" w:cs="微软雅黑"/>
                <w:b/>
                <w:bCs/>
                <w:kern w:val="0"/>
                <w:sz w:val="24"/>
                <w:szCs w:val="24"/>
                <w:lang w:val="en-US" w:eastAsia="zh-CN" w:bidi="zh-CN"/>
              </w:rPr>
            </w:pPr>
            <w:r>
              <w:rPr>
                <w:rFonts w:hint="eastAsia" w:ascii="微软雅黑" w:hAnsi="微软雅黑" w:eastAsia="微软雅黑" w:cs="微软雅黑"/>
                <w:b/>
                <w:bCs/>
                <w:kern w:val="0"/>
                <w:sz w:val="24"/>
                <w:szCs w:val="24"/>
                <w:lang w:val="en-US" w:eastAsia="zh-CN" w:bidi="zh-CN"/>
              </w:rPr>
              <w:t>保险</w:t>
            </w:r>
          </w:p>
        </w:tc>
        <w:tc>
          <w:tcPr>
            <w:tcW w:w="1003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zh-CN" w:eastAsia="zh-CN" w:bidi="zh-CN"/>
              </w:rPr>
            </w:pPr>
            <w:r>
              <w:rPr>
                <w:rFonts w:hint="eastAsia" w:ascii="微软雅黑" w:hAnsi="微软雅黑" w:eastAsia="微软雅黑" w:cs="微软雅黑"/>
                <w:color w:val="auto"/>
                <w:kern w:val="0"/>
                <w:sz w:val="22"/>
                <w:szCs w:val="22"/>
                <w:lang w:val="en-US" w:eastAsia="zh-CN" w:bidi="zh-CN"/>
              </w:rPr>
              <w:t>旅行社责任险、旅游意外险（最高赔付为10万元，如需增加保额，请提前告知）</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164" w:hRule="atLeast"/>
          <w:jc w:val="center"/>
        </w:trPr>
        <w:tc>
          <w:tcPr>
            <w:tcW w:w="1000" w:type="dxa"/>
            <w:tcBorders>
              <w:tl2br w:val="nil"/>
              <w:tr2bl w:val="nil"/>
            </w:tcBorders>
            <w:shd w:val="clear" w:color="auto" w:fill="F1F1F1" w:themeFill="background1" w:themeFillShade="F2"/>
            <w:noWrap w:val="0"/>
            <w:vAlign w:val="center"/>
          </w:tcPr>
          <w:p>
            <w:pPr>
              <w:autoSpaceDE w:val="0"/>
              <w:autoSpaceDN w:val="0"/>
              <w:snapToGrid w:val="0"/>
              <w:jc w:val="center"/>
              <w:rPr>
                <w:rFonts w:hint="eastAsia" w:ascii="微软雅黑" w:hAnsi="微软雅黑" w:eastAsia="微软雅黑" w:cs="微软雅黑"/>
                <w:b/>
                <w:bCs/>
                <w:kern w:val="0"/>
                <w:sz w:val="24"/>
                <w:szCs w:val="24"/>
                <w:lang w:val="en-US" w:eastAsia="zh-CN" w:bidi="zh-CN"/>
              </w:rPr>
            </w:pPr>
            <w:r>
              <w:rPr>
                <w:rFonts w:hint="eastAsia" w:ascii="微软雅黑" w:hAnsi="微软雅黑" w:eastAsia="微软雅黑" w:cs="微软雅黑"/>
                <w:b/>
                <w:bCs/>
                <w:kern w:val="0"/>
                <w:sz w:val="24"/>
                <w:szCs w:val="24"/>
                <w:lang w:val="en-US" w:eastAsia="zh-CN" w:bidi="zh-CN"/>
              </w:rPr>
              <w:t>特别</w:t>
            </w:r>
          </w:p>
          <w:p>
            <w:pPr>
              <w:autoSpaceDE w:val="0"/>
              <w:autoSpaceDN w:val="0"/>
              <w:snapToGrid w:val="0"/>
              <w:jc w:val="center"/>
              <w:rPr>
                <w:rFonts w:hint="eastAsia" w:ascii="微软雅黑" w:hAnsi="微软雅黑" w:eastAsia="微软雅黑" w:cs="微软雅黑"/>
                <w:b/>
                <w:bCs/>
                <w:kern w:val="0"/>
                <w:sz w:val="24"/>
                <w:szCs w:val="24"/>
                <w:lang w:val="en-US" w:eastAsia="zh-CN" w:bidi="zh-CN"/>
              </w:rPr>
            </w:pPr>
            <w:r>
              <w:rPr>
                <w:rFonts w:hint="eastAsia" w:ascii="微软雅黑" w:hAnsi="微软雅黑" w:eastAsia="微软雅黑" w:cs="微软雅黑"/>
                <w:b/>
                <w:bCs/>
                <w:kern w:val="0"/>
                <w:sz w:val="24"/>
                <w:szCs w:val="24"/>
                <w:lang w:val="en-US" w:eastAsia="zh-CN" w:bidi="zh-CN"/>
              </w:rPr>
              <w:t>提示</w:t>
            </w:r>
          </w:p>
        </w:tc>
        <w:tc>
          <w:tcPr>
            <w:tcW w:w="1003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val="0"/>
                <w:bCs w:val="0"/>
                <w:color w:val="FF0000"/>
                <w:sz w:val="22"/>
                <w:szCs w:val="22"/>
              </w:rPr>
            </w:pPr>
            <w:bookmarkStart w:id="0" w:name="_GoBack"/>
            <w:r>
              <w:rPr>
                <w:rFonts w:hint="eastAsia" w:ascii="微软雅黑" w:hAnsi="微软雅黑" w:eastAsia="微软雅黑" w:cs="微软雅黑"/>
                <w:b w:val="0"/>
                <w:bCs w:val="0"/>
                <w:color w:val="FF0000"/>
                <w:sz w:val="22"/>
                <w:szCs w:val="22"/>
              </w:rPr>
              <w:t>1、行程赠送项目，因游客自行放弃或不可抗力因素（如剧场停演等）导致不能参加的，无费用退还；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FF0000"/>
                <w:kern w:val="0"/>
                <w:sz w:val="22"/>
                <w:szCs w:val="22"/>
                <w:lang w:val="en-US" w:eastAsia="zh-CN" w:bidi="zh-CN"/>
              </w:rPr>
            </w:pPr>
            <w:r>
              <w:rPr>
                <w:rFonts w:hint="eastAsia" w:ascii="微软雅黑" w:hAnsi="微软雅黑" w:eastAsia="微软雅黑" w:cs="微软雅黑"/>
                <w:b w:val="0"/>
                <w:bCs w:val="0"/>
                <w:color w:val="FF0000"/>
                <w:kern w:val="0"/>
                <w:sz w:val="22"/>
                <w:szCs w:val="22"/>
                <w:lang w:val="en-US" w:eastAsia="zh-CN" w:bidi="zh-CN"/>
              </w:rPr>
              <w:t>2、赠送项目因国家法定节假日无法安排时，我社不予退费；</w:t>
            </w:r>
          </w:p>
          <w:bookmarkEnd w:id="0"/>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kern w:val="0"/>
                <w:sz w:val="22"/>
                <w:szCs w:val="22"/>
                <w:lang w:val="en-US" w:eastAsia="zh-CN" w:bidi="zh-CN"/>
              </w:rPr>
            </w:pPr>
            <w:r>
              <w:rPr>
                <w:rFonts w:hint="eastAsia" w:ascii="微软雅黑" w:hAnsi="微软雅黑" w:eastAsia="微软雅黑" w:cs="微软雅黑"/>
                <w:b w:val="0"/>
                <w:bCs w:val="0"/>
                <w:color w:val="auto"/>
                <w:kern w:val="0"/>
                <w:sz w:val="22"/>
                <w:szCs w:val="22"/>
                <w:lang w:val="en-US" w:eastAsia="zh-CN" w:bidi="zh-CN"/>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spacing w:val="-10"/>
                <w:sz w:val="22"/>
                <w:szCs w:val="22"/>
                <w:lang w:val="en-US" w:eastAsia="zh-CN"/>
              </w:rPr>
            </w:pPr>
            <w:r>
              <w:rPr>
                <w:rFonts w:hint="eastAsia" w:ascii="微软雅黑" w:hAnsi="微软雅黑" w:eastAsia="微软雅黑" w:cs="微软雅黑"/>
                <w:b w:val="0"/>
                <w:bCs w:val="0"/>
                <w:color w:val="auto"/>
                <w:kern w:val="0"/>
                <w:sz w:val="22"/>
                <w:szCs w:val="22"/>
                <w:lang w:val="en-US" w:eastAsia="zh-CN" w:bidi="zh-CN"/>
              </w:rPr>
              <w:t>4、此行程为打包行程，持优惠证件当地不再做任何退费；</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000"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kern w:val="0"/>
                <w:sz w:val="24"/>
                <w:szCs w:val="24"/>
                <w:lang w:val="en-US" w:eastAsia="zh-CN" w:bidi="zh-CN"/>
              </w:rPr>
              <w:t>购物</w:t>
            </w:r>
          </w:p>
        </w:tc>
        <w:tc>
          <w:tcPr>
            <w:tcW w:w="1003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2"/>
                <w:szCs w:val="22"/>
                <w:lang w:val="en-US" w:eastAsia="zh-CN" w:bidi="zh-CN"/>
              </w:rPr>
            </w:pPr>
            <w:r>
              <w:rPr>
                <w:rFonts w:hint="eastAsia" w:ascii="微软雅黑" w:hAnsi="微软雅黑" w:eastAsia="微软雅黑" w:cs="微软雅黑"/>
                <w:color w:val="auto"/>
                <w:kern w:val="0"/>
                <w:sz w:val="22"/>
                <w:szCs w:val="22"/>
                <w:lang w:val="en-US" w:eastAsia="zh-CN" w:bidi="zh-CN"/>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030" w:type="dxa"/>
            <w:gridSpan w:val="2"/>
            <w:tcBorders>
              <w:tl2br w:val="nil"/>
              <w:tr2bl w:val="nil"/>
            </w:tcBorders>
            <w:shd w:val="clear" w:color="auto" w:fill="823B0B" w:themeFill="accent2" w:themeFillShade="7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304" w:firstLineChars="95"/>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2"/>
                <w:szCs w:val="32"/>
              </w:rPr>
              <w:t>特</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别</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说</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030"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pPr>
        <w:pStyle w:val="3"/>
        <w:spacing w:before="1"/>
      </w:pPr>
    </w:p>
    <w:sectPr>
      <w:headerReference r:id="rId3" w:type="default"/>
      <w:pgSz w:w="11906" w:h="16838"/>
      <w:pgMar w:top="1440" w:right="1800" w:bottom="93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60288" behindDoc="1" locked="0" layoutInCell="1" allowOverlap="1">
          <wp:simplePos x="0" y="0"/>
          <wp:positionH relativeFrom="margin">
            <wp:posOffset>-1130935</wp:posOffset>
          </wp:positionH>
          <wp:positionV relativeFrom="margin">
            <wp:posOffset>-912495</wp:posOffset>
          </wp:positionV>
          <wp:extent cx="7574280" cy="10713085"/>
          <wp:effectExtent l="0" t="0" r="0" b="635"/>
          <wp:wrapNone/>
          <wp:docPr id="4" name="WordPictureWatermark54194" descr="E:\2022\1月\50 西安地接高华杰\诗里长安1.jpg诗里长安1"/>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诗里长安1.jpg诗里长安1"/>
                  <pic:cNvPicPr preferRelativeResize="0"/>
                </pic:nvPicPr>
                <pic:blipFill>
                  <a:blip r:embed="rId1"/>
                  <a:srcRect/>
                  <a:stretch>
                    <a:fillRect/>
                  </a:stretch>
                </pic:blipFill>
                <pic:spPr>
                  <a:xfrm>
                    <a:off x="0" y="0"/>
                    <a:ext cx="7574280" cy="1071308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4292BCD"/>
    <w:rsid w:val="061C11DC"/>
    <w:rsid w:val="075628F0"/>
    <w:rsid w:val="096A4AEE"/>
    <w:rsid w:val="0AC47DDC"/>
    <w:rsid w:val="108C77D1"/>
    <w:rsid w:val="115E4E0F"/>
    <w:rsid w:val="149F1DC9"/>
    <w:rsid w:val="17ED5DF9"/>
    <w:rsid w:val="196B16E7"/>
    <w:rsid w:val="1B304996"/>
    <w:rsid w:val="1BEB0073"/>
    <w:rsid w:val="1CAE2016"/>
    <w:rsid w:val="1FBF7AEE"/>
    <w:rsid w:val="21252B68"/>
    <w:rsid w:val="26051E57"/>
    <w:rsid w:val="261E6F86"/>
    <w:rsid w:val="26760B14"/>
    <w:rsid w:val="268E3427"/>
    <w:rsid w:val="282C063D"/>
    <w:rsid w:val="29420625"/>
    <w:rsid w:val="294D6867"/>
    <w:rsid w:val="2966681A"/>
    <w:rsid w:val="2B14398C"/>
    <w:rsid w:val="2CA84CD4"/>
    <w:rsid w:val="30FB6332"/>
    <w:rsid w:val="32894C60"/>
    <w:rsid w:val="352128FF"/>
    <w:rsid w:val="35841E81"/>
    <w:rsid w:val="36343134"/>
    <w:rsid w:val="36A36622"/>
    <w:rsid w:val="36CC5A63"/>
    <w:rsid w:val="389C3213"/>
    <w:rsid w:val="3AE2111C"/>
    <w:rsid w:val="416609C5"/>
    <w:rsid w:val="41CC6917"/>
    <w:rsid w:val="42187DAE"/>
    <w:rsid w:val="449F4555"/>
    <w:rsid w:val="46D00C57"/>
    <w:rsid w:val="473D53D2"/>
    <w:rsid w:val="48BA1BBF"/>
    <w:rsid w:val="490177EE"/>
    <w:rsid w:val="49581B66"/>
    <w:rsid w:val="4BBF797C"/>
    <w:rsid w:val="4C8F39C7"/>
    <w:rsid w:val="5826797E"/>
    <w:rsid w:val="597C6A1D"/>
    <w:rsid w:val="5DD11BFE"/>
    <w:rsid w:val="5E500164"/>
    <w:rsid w:val="5ED30E8D"/>
    <w:rsid w:val="604526EC"/>
    <w:rsid w:val="61A44D62"/>
    <w:rsid w:val="641F3D36"/>
    <w:rsid w:val="6533719B"/>
    <w:rsid w:val="66942AED"/>
    <w:rsid w:val="66CA7019"/>
    <w:rsid w:val="68F171D5"/>
    <w:rsid w:val="6D884FF4"/>
    <w:rsid w:val="6E8A7A36"/>
    <w:rsid w:val="6EBB6DA6"/>
    <w:rsid w:val="711517D9"/>
    <w:rsid w:val="751033D5"/>
    <w:rsid w:val="77B97536"/>
    <w:rsid w:val="79BB5225"/>
    <w:rsid w:val="79EE0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4135</Words>
  <Characters>4225</Characters>
  <Lines>0</Lines>
  <Paragraphs>0</Paragraphs>
  <TotalTime>1</TotalTime>
  <ScaleCrop>false</ScaleCrop>
  <LinksUpToDate>false</LinksUpToDate>
  <CharactersWithSpaces>4271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2023-04-12T07:03:36Z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79F6BF1D15F4480490883252487AE0EC</vt:lpwstr>
  </property>
</Properties>
</file>