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B8222">
      <w:pPr>
        <w:jc w:val="center"/>
        <w:rPr>
          <w:rFonts w:hint="eastAsia" w:ascii="方正粗宋_GBK" w:hAnsi="宋体" w:eastAsia="方正粗宋_GBK"/>
          <w:b/>
          <w:bCs/>
          <w:color w:val="438179" w:themeColor="background2" w:themeShade="80"/>
          <w:spacing w:val="16"/>
          <w:position w:val="-4"/>
          <w:sz w:val="36"/>
          <w:szCs w:val="36"/>
        </w:rPr>
        <w:sectPr>
          <w:headerReference r:id="rId3" w:type="default"/>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rPr>
        <w:drawing>
          <wp:anchor distT="0" distB="0" distL="114300" distR="114300" simplePos="0" relativeHeight="251664384" behindDoc="0" locked="0" layoutInCell="1" allowOverlap="1">
            <wp:simplePos x="0" y="0"/>
            <wp:positionH relativeFrom="column">
              <wp:posOffset>-539750</wp:posOffset>
            </wp:positionH>
            <wp:positionV relativeFrom="paragraph">
              <wp:posOffset>-727075</wp:posOffset>
            </wp:positionV>
            <wp:extent cx="7559675" cy="10672445"/>
            <wp:effectExtent l="0" t="0" r="38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63074" cy="10677673"/>
                    </a:xfrm>
                    <a:prstGeom prst="rect">
                      <a:avLst/>
                    </a:prstGeom>
                  </pic:spPr>
                </pic:pic>
              </a:graphicData>
            </a:graphic>
          </wp:anchor>
        </w:drawing>
      </w:r>
    </w:p>
    <w:p w14:paraId="44C9CD23">
      <w:pPr>
        <w:spacing w:line="520" w:lineRule="exact"/>
        <w:jc w:val="center"/>
        <w:rPr>
          <w:rFonts w:hint="eastAsia" w:ascii="方正粗宋_GBK" w:hAnsi="宋体" w:eastAsia="方正粗宋_GBK"/>
          <w:b/>
          <w:bCs/>
          <w:color w:val="438179" w:themeColor="background2" w:themeShade="80"/>
          <w:spacing w:val="16"/>
          <w:position w:val="-4"/>
          <w:sz w:val="36"/>
          <w:szCs w:val="36"/>
        </w:rPr>
        <w:sectPr>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rPr>
        <w:drawing>
          <wp:anchor distT="0" distB="0" distL="114300" distR="114300" simplePos="0" relativeHeight="251660288" behindDoc="0" locked="0" layoutInCell="1" allowOverlap="1">
            <wp:simplePos x="0" y="0"/>
            <wp:positionH relativeFrom="column">
              <wp:posOffset>-539750</wp:posOffset>
            </wp:positionH>
            <wp:positionV relativeFrom="paragraph">
              <wp:posOffset>-721995</wp:posOffset>
            </wp:positionV>
            <wp:extent cx="7560945" cy="10680065"/>
            <wp:effectExtent l="0" t="0" r="1905" b="6985"/>
            <wp:wrapSquare wrapText="bothSides"/>
            <wp:docPr id="3" name="图片 3" descr="C:/Users/Administrator.SC-201905261508/Desktop/新建文件夹/新建文件夹/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SC-201905261508/Desktop/新建文件夹/新建文件夹/2.jpg2"/>
                    <pic:cNvPicPr>
                      <a:picLocks noChangeAspect="1"/>
                    </pic:cNvPicPr>
                  </pic:nvPicPr>
                  <pic:blipFill>
                    <a:blip r:embed="rId6"/>
                    <a:srcRect t="88" b="88"/>
                    <a:stretch>
                      <a:fillRect/>
                    </a:stretch>
                  </pic:blipFill>
                  <pic:spPr>
                    <a:xfrm>
                      <a:off x="0" y="0"/>
                      <a:ext cx="7560945" cy="10680065"/>
                    </a:xfrm>
                    <a:prstGeom prst="rect">
                      <a:avLst/>
                    </a:prstGeom>
                  </pic:spPr>
                </pic:pic>
              </a:graphicData>
            </a:graphic>
          </wp:anchor>
        </w:drawing>
      </w:r>
    </w:p>
    <w:p w14:paraId="715EF4FB">
      <w:pPr>
        <w:spacing w:line="520" w:lineRule="exact"/>
        <w:jc w:val="center"/>
        <w:rPr>
          <w:rFonts w:hint="eastAsia" w:ascii="方正粗宋_GBK" w:hAnsi="宋体" w:eastAsia="方正粗宋_GBK"/>
          <w:b/>
          <w:bCs/>
          <w:color w:val="438179" w:themeColor="background2" w:themeShade="80"/>
          <w:spacing w:val="16"/>
          <w:position w:val="-4"/>
          <w:sz w:val="36"/>
          <w:szCs w:val="36"/>
        </w:rPr>
        <w:sectPr>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rPr>
        <w:drawing>
          <wp:anchor distT="0" distB="0" distL="114300" distR="114300" simplePos="0" relativeHeight="251661312" behindDoc="0" locked="0" layoutInCell="1" allowOverlap="1">
            <wp:simplePos x="0" y="0"/>
            <wp:positionH relativeFrom="column">
              <wp:posOffset>-539750</wp:posOffset>
            </wp:positionH>
            <wp:positionV relativeFrom="paragraph">
              <wp:posOffset>-721995</wp:posOffset>
            </wp:positionV>
            <wp:extent cx="7560945" cy="10680065"/>
            <wp:effectExtent l="0" t="0" r="1905" b="6985"/>
            <wp:wrapSquare wrapText="bothSides"/>
            <wp:docPr id="4" name="图片 4" descr="C:/Users/Administrator.SC-201905261508/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SC-201905261508/Desktop/3.jpg3"/>
                    <pic:cNvPicPr>
                      <a:picLocks noChangeAspect="1"/>
                    </pic:cNvPicPr>
                  </pic:nvPicPr>
                  <pic:blipFill>
                    <a:blip r:embed="rId7"/>
                    <a:srcRect t="88" b="88"/>
                    <a:stretch>
                      <a:fillRect/>
                    </a:stretch>
                  </pic:blipFill>
                  <pic:spPr>
                    <a:xfrm>
                      <a:off x="0" y="0"/>
                      <a:ext cx="7560945" cy="10680065"/>
                    </a:xfrm>
                    <a:prstGeom prst="rect">
                      <a:avLst/>
                    </a:prstGeom>
                  </pic:spPr>
                </pic:pic>
              </a:graphicData>
            </a:graphic>
          </wp:anchor>
        </w:drawing>
      </w:r>
    </w:p>
    <w:p w14:paraId="130CD4E8">
      <w:pPr>
        <w:spacing w:line="520" w:lineRule="exact"/>
        <w:jc w:val="center"/>
        <w:rPr>
          <w:rFonts w:hint="eastAsia" w:ascii="方正粗宋_GBK" w:hAnsi="宋体" w:eastAsia="方正粗宋_GBK"/>
          <w:b/>
          <w:bCs/>
          <w:color w:val="438179" w:themeColor="background2" w:themeShade="80"/>
          <w:spacing w:val="16"/>
          <w:position w:val="-4"/>
          <w:sz w:val="36"/>
          <w:szCs w:val="36"/>
        </w:rPr>
        <w:sectPr>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lang w:val="en-US" w:eastAsia="zh-CN"/>
        </w:rPr>
        <w:drawing>
          <wp:anchor distT="0" distB="0" distL="114300" distR="114300" simplePos="0" relativeHeight="251665408" behindDoc="0" locked="0" layoutInCell="1" allowOverlap="1">
            <wp:simplePos x="0" y="0"/>
            <wp:positionH relativeFrom="column">
              <wp:posOffset>-539750</wp:posOffset>
            </wp:positionH>
            <wp:positionV relativeFrom="paragraph">
              <wp:posOffset>-721995</wp:posOffset>
            </wp:positionV>
            <wp:extent cx="7560945" cy="10680065"/>
            <wp:effectExtent l="0" t="0" r="1905" b="6985"/>
            <wp:wrapSquare wrapText="bothSides"/>
            <wp:docPr id="5" name="图片 5" descr="C:/Users/Administrator.SC-201905261508/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SC-201905261508/Desktop/4.jpg4"/>
                    <pic:cNvPicPr>
                      <a:picLocks noChangeAspect="1"/>
                    </pic:cNvPicPr>
                  </pic:nvPicPr>
                  <pic:blipFill>
                    <a:blip r:embed="rId8"/>
                    <a:srcRect t="88" b="88"/>
                    <a:stretch>
                      <a:fillRect/>
                    </a:stretch>
                  </pic:blipFill>
                  <pic:spPr>
                    <a:xfrm>
                      <a:off x="0" y="0"/>
                      <a:ext cx="7560945" cy="10680065"/>
                    </a:xfrm>
                    <a:prstGeom prst="rect">
                      <a:avLst/>
                    </a:prstGeom>
                  </pic:spPr>
                </pic:pic>
              </a:graphicData>
            </a:graphic>
          </wp:anchor>
        </w:drawing>
      </w:r>
    </w:p>
    <w:p w14:paraId="5F2A92E5">
      <w:pPr>
        <w:spacing w:line="520" w:lineRule="exact"/>
        <w:jc w:val="center"/>
        <w:rPr>
          <w:rFonts w:hint="eastAsia" w:ascii="方正粗宋_GBK" w:hAnsi="宋体" w:eastAsia="方正粗宋_GBK"/>
          <w:b/>
          <w:bCs/>
          <w:color w:val="438179" w:themeColor="background2" w:themeShade="80"/>
          <w:spacing w:val="16"/>
          <w:position w:val="-4"/>
          <w:sz w:val="36"/>
          <w:szCs w:val="36"/>
        </w:rPr>
        <w:sectPr>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rPr>
        <w:drawing>
          <wp:anchor distT="0" distB="0" distL="114300" distR="114300" simplePos="0" relativeHeight="251662336" behindDoc="0" locked="0" layoutInCell="1" allowOverlap="1">
            <wp:simplePos x="0" y="0"/>
            <wp:positionH relativeFrom="column">
              <wp:posOffset>-539750</wp:posOffset>
            </wp:positionH>
            <wp:positionV relativeFrom="paragraph">
              <wp:posOffset>-721995</wp:posOffset>
            </wp:positionV>
            <wp:extent cx="7560945" cy="10680065"/>
            <wp:effectExtent l="0" t="0" r="1905" b="6985"/>
            <wp:wrapSquare wrapText="bothSides"/>
            <wp:docPr id="6" name="图片 6" descr="C:/Users/Administrator.SC-201905261508/Desktop/新建文件夹/新建文件夹/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SC-201905261508/Desktop/新建文件夹/新建文件夹/5.jpg5"/>
                    <pic:cNvPicPr>
                      <a:picLocks noChangeAspect="1"/>
                    </pic:cNvPicPr>
                  </pic:nvPicPr>
                  <pic:blipFill>
                    <a:blip r:embed="rId9"/>
                    <a:srcRect t="88" b="88"/>
                    <a:stretch>
                      <a:fillRect/>
                    </a:stretch>
                  </pic:blipFill>
                  <pic:spPr>
                    <a:xfrm>
                      <a:off x="0" y="0"/>
                      <a:ext cx="7560945" cy="10680065"/>
                    </a:xfrm>
                    <a:prstGeom prst="rect">
                      <a:avLst/>
                    </a:prstGeom>
                  </pic:spPr>
                </pic:pic>
              </a:graphicData>
            </a:graphic>
          </wp:anchor>
        </w:drawing>
      </w:r>
    </w:p>
    <w:p w14:paraId="25801094">
      <w:pPr>
        <w:spacing w:line="520" w:lineRule="exact"/>
        <w:jc w:val="center"/>
        <w:rPr>
          <w:rFonts w:hint="eastAsia" w:ascii="方正粗宋_GBK" w:hAnsi="宋体" w:eastAsia="方正粗宋_GBK"/>
          <w:b/>
          <w:bCs/>
          <w:color w:val="438179" w:themeColor="background2" w:themeShade="80"/>
          <w:spacing w:val="16"/>
          <w:position w:val="-4"/>
          <w:sz w:val="36"/>
          <w:szCs w:val="36"/>
        </w:rPr>
        <w:sectPr>
          <w:pgSz w:w="11906" w:h="16838"/>
          <w:pgMar w:top="567" w:right="850" w:bottom="567" w:left="850" w:header="794" w:footer="794" w:gutter="0"/>
          <w:cols w:space="425" w:num="1"/>
          <w:docGrid w:type="lines" w:linePitch="312" w:charSpace="0"/>
        </w:sectPr>
      </w:pPr>
      <w:r>
        <w:rPr>
          <w:rFonts w:hint="eastAsia" w:ascii="方正粗宋_GBK" w:hAnsi="宋体" w:eastAsia="方正粗宋_GBK"/>
          <w:b/>
          <w:bCs/>
          <w:color w:val="438179" w:themeColor="background2" w:themeShade="80"/>
          <w:spacing w:val="16"/>
          <w:position w:val="-4"/>
          <w:sz w:val="36"/>
          <w:szCs w:val="36"/>
        </w:rPr>
        <w:drawing>
          <wp:anchor distT="0" distB="0" distL="114300" distR="114300" simplePos="0" relativeHeight="251663360" behindDoc="0" locked="0" layoutInCell="1" allowOverlap="1">
            <wp:simplePos x="0" y="0"/>
            <wp:positionH relativeFrom="column">
              <wp:posOffset>-539750</wp:posOffset>
            </wp:positionH>
            <wp:positionV relativeFrom="paragraph">
              <wp:posOffset>0</wp:posOffset>
            </wp:positionV>
            <wp:extent cx="7560945" cy="10680065"/>
            <wp:effectExtent l="0" t="0" r="1905" b="698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rcRect l="24" r="24"/>
                    <a:stretch>
                      <a:fillRect/>
                    </a:stretch>
                  </pic:blipFill>
                  <pic:spPr>
                    <a:xfrm>
                      <a:off x="0" y="0"/>
                      <a:ext cx="7560945" cy="10680065"/>
                    </a:xfrm>
                    <a:prstGeom prst="rect">
                      <a:avLst/>
                    </a:prstGeom>
                  </pic:spPr>
                </pic:pic>
              </a:graphicData>
            </a:graphic>
          </wp:anchor>
        </w:drawing>
      </w:r>
    </w:p>
    <w:p w14:paraId="161D028E">
      <w:pPr>
        <w:spacing w:line="520" w:lineRule="exact"/>
        <w:jc w:val="center"/>
        <w:rPr>
          <w:rFonts w:hint="eastAsia" w:ascii="微软雅黑" w:hAnsi="微软雅黑" w:eastAsia="微软雅黑" w:cs="微软雅黑"/>
          <w:b/>
          <w:bCs/>
          <w:color w:val="438179" w:themeColor="background2" w:themeShade="80"/>
          <w:spacing w:val="16"/>
          <w:position w:val="-4"/>
          <w:sz w:val="44"/>
          <w:szCs w:val="44"/>
        </w:rPr>
      </w:pPr>
      <w:r>
        <w:rPr>
          <w:rFonts w:hint="eastAsia" w:ascii="方正粗宋_GBK" w:hAnsi="宋体" w:eastAsia="方正粗宋_GBK"/>
          <w:b/>
          <w:bCs/>
          <w:color w:val="438179" w:themeColor="background2" w:themeShade="80"/>
          <w:spacing w:val="16"/>
          <w:position w:val="-4"/>
          <w:sz w:val="36"/>
          <w:szCs w:val="36"/>
        </w:rPr>
        <w:t xml:space="preserve"> </w:t>
      </w:r>
      <w:r>
        <w:rPr>
          <w:rFonts w:hint="eastAsia" w:ascii="微软雅黑" w:hAnsi="微软雅黑" w:eastAsia="微软雅黑" w:cs="微软雅黑"/>
          <w:b/>
          <w:bCs/>
          <w:color w:val="1409A6"/>
          <w:spacing w:val="16"/>
          <w:position w:val="-4"/>
          <w:sz w:val="44"/>
          <w:szCs w:val="44"/>
        </w:rPr>
        <w:t>三清山</w:t>
      </w:r>
      <w:r>
        <w:rPr>
          <w:rFonts w:hint="default" w:ascii="微软雅黑" w:hAnsi="微软雅黑" w:eastAsia="微软雅黑" w:cs="微软雅黑"/>
          <w:b/>
          <w:bCs/>
          <w:color w:val="1409A6"/>
          <w:spacing w:val="16"/>
          <w:position w:val="-4"/>
          <w:sz w:val="44"/>
          <w:szCs w:val="44"/>
          <w:lang w:val="en-US" w:eastAsia="zh-CN"/>
        </w:rPr>
        <w:t>•</w:t>
      </w:r>
      <w:r>
        <w:rPr>
          <w:rFonts w:hint="eastAsia" w:ascii="微软雅黑" w:hAnsi="微软雅黑" w:eastAsia="微软雅黑" w:cs="微软雅黑"/>
          <w:b/>
          <w:bCs/>
          <w:color w:val="1409A6"/>
          <w:spacing w:val="16"/>
          <w:position w:val="-4"/>
          <w:sz w:val="44"/>
          <w:szCs w:val="44"/>
        </w:rPr>
        <w:t>望仙谷</w:t>
      </w:r>
      <w:r>
        <w:rPr>
          <w:rFonts w:hint="default" w:ascii="微软雅黑" w:hAnsi="微软雅黑" w:eastAsia="微软雅黑" w:cs="微软雅黑"/>
          <w:b/>
          <w:bCs/>
          <w:color w:val="1409A6"/>
          <w:spacing w:val="16"/>
          <w:position w:val="-4"/>
          <w:sz w:val="44"/>
          <w:szCs w:val="44"/>
          <w:lang w:val="en-US" w:eastAsia="zh-CN"/>
        </w:rPr>
        <w:t>•</w:t>
      </w:r>
      <w:r>
        <w:rPr>
          <w:rFonts w:hint="eastAsia" w:ascii="微软雅黑" w:hAnsi="微软雅黑" w:eastAsia="微软雅黑" w:cs="微软雅黑"/>
          <w:b/>
          <w:bCs/>
          <w:color w:val="1409A6"/>
          <w:spacing w:val="16"/>
          <w:position w:val="-4"/>
          <w:sz w:val="44"/>
          <w:szCs w:val="44"/>
        </w:rPr>
        <w:t>婺源</w:t>
      </w:r>
      <w:r>
        <w:rPr>
          <w:rFonts w:hint="default" w:ascii="微软雅黑" w:hAnsi="微软雅黑" w:eastAsia="微软雅黑" w:cs="微软雅黑"/>
          <w:b/>
          <w:bCs/>
          <w:color w:val="1409A6"/>
          <w:spacing w:val="16"/>
          <w:position w:val="-4"/>
          <w:sz w:val="44"/>
          <w:szCs w:val="44"/>
          <w:lang w:val="en-US" w:eastAsia="zh-CN"/>
        </w:rPr>
        <w:t>•</w:t>
      </w:r>
      <w:r>
        <w:rPr>
          <w:rFonts w:hint="eastAsia" w:ascii="微软雅黑" w:hAnsi="微软雅黑" w:eastAsia="微软雅黑" w:cs="微软雅黑"/>
          <w:b/>
          <w:bCs/>
          <w:color w:val="1409A6"/>
          <w:spacing w:val="16"/>
          <w:position w:val="-4"/>
          <w:sz w:val="44"/>
          <w:szCs w:val="44"/>
        </w:rPr>
        <w:t>景德镇</w:t>
      </w:r>
      <w:r>
        <w:rPr>
          <w:rFonts w:hint="default" w:ascii="微软雅黑" w:hAnsi="微软雅黑" w:eastAsia="微软雅黑" w:cs="微软雅黑"/>
          <w:b/>
          <w:bCs/>
          <w:color w:val="1409A6"/>
          <w:spacing w:val="16"/>
          <w:position w:val="-4"/>
          <w:sz w:val="44"/>
          <w:szCs w:val="44"/>
          <w:lang w:val="en-US" w:eastAsia="zh-CN"/>
        </w:rPr>
        <w:t>•</w:t>
      </w:r>
      <w:r>
        <w:rPr>
          <w:rFonts w:hint="eastAsia" w:ascii="微软雅黑" w:hAnsi="微软雅黑" w:eastAsia="微软雅黑" w:cs="微软雅黑"/>
          <w:b/>
          <w:bCs/>
          <w:color w:val="1409A6"/>
          <w:spacing w:val="16"/>
          <w:position w:val="-4"/>
          <w:sz w:val="44"/>
          <w:szCs w:val="44"/>
        </w:rPr>
        <w:t>庐山</w:t>
      </w:r>
      <w:r>
        <w:rPr>
          <w:rFonts w:hint="default" w:ascii="微软雅黑" w:hAnsi="微软雅黑" w:eastAsia="微软雅黑" w:cs="微软雅黑"/>
          <w:b/>
          <w:bCs/>
          <w:color w:val="1409A6"/>
          <w:spacing w:val="16"/>
          <w:position w:val="-4"/>
          <w:sz w:val="44"/>
          <w:szCs w:val="44"/>
          <w:lang w:val="en-US" w:eastAsia="zh-CN"/>
        </w:rPr>
        <w:t>•</w:t>
      </w:r>
      <w:r>
        <w:rPr>
          <w:rFonts w:hint="eastAsia" w:ascii="微软雅黑" w:hAnsi="微软雅黑" w:eastAsia="微软雅黑" w:cs="微软雅黑"/>
          <w:b/>
          <w:bCs/>
          <w:color w:val="1409A6"/>
          <w:spacing w:val="16"/>
          <w:position w:val="-4"/>
          <w:sz w:val="44"/>
          <w:szCs w:val="44"/>
        </w:rPr>
        <w:t>南昌6日</w:t>
      </w:r>
    </w:p>
    <w:p w14:paraId="71F7BDAD">
      <w:pPr>
        <w:keepNext w:val="0"/>
        <w:keepLines w:val="0"/>
        <w:pageBreakBefore w:val="0"/>
        <w:kinsoku/>
        <w:wordWrap/>
        <w:overflowPunct/>
        <w:topLinePunct w:val="0"/>
        <w:autoSpaceDE/>
        <w:autoSpaceDN/>
        <w:bidi w:val="0"/>
        <w:snapToGrid w:val="0"/>
        <w:spacing w:line="240" w:lineRule="auto"/>
        <w:ind w:left="-1" w:leftChars="-95" w:hanging="198" w:hangingChars="71"/>
        <w:jc w:val="center"/>
        <w:textAlignment w:val="auto"/>
        <w:rPr>
          <w:rFonts w:hint="eastAsia" w:ascii="微软雅黑" w:hAnsi="微软雅黑" w:eastAsia="微软雅黑" w:cs="微软雅黑"/>
          <w:b w:val="0"/>
          <w:bCs w:val="0"/>
          <w:color w:val="B37560" w:themeColor="accent5" w:themeShade="BF"/>
          <w:sz w:val="28"/>
          <w:szCs w:val="28"/>
        </w:rPr>
      </w:pPr>
      <w:r>
        <w:rPr>
          <w:rFonts w:hint="eastAsia" w:ascii="微软雅黑" w:hAnsi="微软雅黑" w:eastAsia="微软雅黑" w:cs="微软雅黑"/>
          <w:b w:val="0"/>
          <w:bCs w:val="0"/>
          <w:color w:val="B37560" w:themeColor="accent5" w:themeShade="BF"/>
          <w:sz w:val="28"/>
          <w:szCs w:val="28"/>
          <w:lang w:val="en-US" w:eastAsia="zh-CN"/>
        </w:rPr>
        <w:t xml:space="preserve">   </w:t>
      </w:r>
      <w:r>
        <w:rPr>
          <w:rFonts w:hint="eastAsia" w:ascii="微软雅黑" w:hAnsi="微软雅黑" w:eastAsia="微软雅黑" w:cs="微软雅黑"/>
          <w:b w:val="0"/>
          <w:bCs w:val="0"/>
          <w:color w:val="B37560" w:themeColor="accent5" w:themeShade="BF"/>
          <w:sz w:val="28"/>
          <w:szCs w:val="28"/>
        </w:rPr>
        <w:t>&lt;三清山</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鄱阳湖湿地公园</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望仙谷</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篁岭</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婺女洲</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景德镇</w:t>
      </w:r>
      <w:r>
        <w:rPr>
          <w:rFonts w:hint="eastAsia" w:ascii="微软雅黑" w:hAnsi="微软雅黑" w:eastAsia="微软雅黑" w:cs="微软雅黑"/>
          <w:b w:val="0"/>
          <w:bCs w:val="0"/>
          <w:color w:val="B37560" w:themeColor="accent5" w:themeShade="BF"/>
          <w:sz w:val="28"/>
          <w:szCs w:val="28"/>
          <w:lang w:val="en-US" w:eastAsia="zh-CN"/>
        </w:rPr>
        <w:t>•</w:t>
      </w:r>
      <w:r>
        <w:rPr>
          <w:rFonts w:hint="eastAsia" w:ascii="微软雅黑" w:hAnsi="微软雅黑" w:eastAsia="微软雅黑" w:cs="微软雅黑"/>
          <w:b w:val="0"/>
          <w:bCs w:val="0"/>
          <w:color w:val="B37560" w:themeColor="accent5" w:themeShade="BF"/>
          <w:sz w:val="28"/>
          <w:szCs w:val="28"/>
        </w:rPr>
        <w:t>庐山三叠泉&gt;</w:t>
      </w:r>
    </w:p>
    <w:tbl>
      <w:tblPr>
        <w:tblStyle w:val="9"/>
        <w:tblpPr w:leftFromText="180" w:rightFromText="180" w:vertAnchor="text" w:horzAnchor="page" w:tblpX="852" w:tblpY="108"/>
        <w:tblOverlap w:val="never"/>
        <w:tblW w:w="0" w:type="auto"/>
        <w:tblInd w:w="0" w:type="dxa"/>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Layout w:type="autofit"/>
        <w:tblCellMar>
          <w:top w:w="0" w:type="dxa"/>
          <w:left w:w="108" w:type="dxa"/>
          <w:bottom w:w="0" w:type="dxa"/>
          <w:right w:w="108" w:type="dxa"/>
        </w:tblCellMar>
      </w:tblPr>
      <w:tblGrid>
        <w:gridCol w:w="605"/>
        <w:gridCol w:w="9817"/>
      </w:tblGrid>
      <w:tr w14:paraId="3614755E">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839" w:hRule="atLeast"/>
        </w:trPr>
        <w:tc>
          <w:tcPr>
            <w:tcW w:w="0" w:type="auto"/>
            <w:gridSpan w:val="2"/>
            <w:tcBorders>
              <w:bottom w:val="single" w:color="auto" w:sz="4" w:space="0"/>
              <w:tl2br w:val="nil"/>
              <w:tr2bl w:val="nil"/>
            </w:tcBorders>
            <w:shd w:val="clear" w:color="auto" w:fill="FFFFFF" w:themeFill="background1"/>
          </w:tcPr>
          <w:p w14:paraId="4834899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b/>
                <w:bCs/>
                <w:color w:val="000000"/>
                <w:kern w:val="0"/>
                <w:sz w:val="28"/>
                <w:szCs w:val="28"/>
                <w:lang w:bidi="ar"/>
              </w:rPr>
              <w:t>产品亮点：</w:t>
            </w:r>
            <w:r>
              <w:rPr>
                <w:rFonts w:hint="eastAsia" w:ascii="微软雅黑" w:hAnsi="微软雅黑" w:eastAsia="微软雅黑" w:cs="微软雅黑"/>
                <w:b/>
                <w:bCs/>
                <w:color w:val="000000"/>
                <w:kern w:val="0"/>
                <w:sz w:val="20"/>
                <w:szCs w:val="20"/>
                <w:lang w:bidi="ar"/>
              </w:rPr>
              <w:t xml:space="preserve"> </w:t>
            </w:r>
          </w:p>
          <w:p w14:paraId="229017F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b/>
                <w:bCs/>
                <w:color w:val="C00000"/>
                <w:kern w:val="0"/>
                <w:sz w:val="20"/>
                <w:szCs w:val="20"/>
                <w:lang w:bidi="ar"/>
              </w:rPr>
              <w:t xml:space="preserve">100%真纯玩，0 购物 0 套路；全程五星大牌景点一网打尽；一次出行，满载而归 </w:t>
            </w:r>
          </w:p>
          <w:p w14:paraId="0CF32C1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b/>
                <w:bCs/>
                <w:color w:val="000000"/>
                <w:kern w:val="0"/>
                <w:sz w:val="20"/>
                <w:szCs w:val="20"/>
                <w:lang w:bidi="ar"/>
              </w:rPr>
              <w:t>游玩亮点：</w:t>
            </w:r>
            <w:r>
              <w:rPr>
                <w:rFonts w:hint="eastAsia" w:ascii="微软雅黑" w:hAnsi="微软雅黑" w:eastAsia="微软雅黑" w:cs="微软雅黑"/>
                <w:b/>
                <w:bCs/>
                <w:color w:val="548DD4"/>
                <w:kern w:val="0"/>
                <w:sz w:val="20"/>
                <w:szCs w:val="20"/>
                <w:lang w:bidi="ar"/>
              </w:rPr>
              <w:t>王牌景点一网打尽、不走回头路！</w:t>
            </w:r>
          </w:p>
          <w:p w14:paraId="67EFBA1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b/>
                <w:bCs/>
                <w:color w:val="000000"/>
                <w:kern w:val="0"/>
                <w:sz w:val="20"/>
                <w:szCs w:val="20"/>
                <w:lang w:bidi="ar"/>
              </w:rPr>
              <w:t>奢享酒店：</w:t>
            </w:r>
            <w:r>
              <w:rPr>
                <w:rFonts w:hint="eastAsia" w:ascii="微软雅黑" w:hAnsi="微软雅黑" w:eastAsia="微软雅黑" w:cs="微软雅黑"/>
                <w:color w:val="000000"/>
                <w:kern w:val="0"/>
                <w:sz w:val="20"/>
                <w:szCs w:val="20"/>
                <w:lang w:bidi="ar"/>
              </w:rPr>
              <w:t>全程4晚携程四钻+1晚三清山四钻或望仙谷外特色民宿；</w:t>
            </w:r>
          </w:p>
          <w:p w14:paraId="72C2B34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b/>
                <w:bCs/>
                <w:color w:val="000000"/>
                <w:kern w:val="0"/>
                <w:sz w:val="20"/>
                <w:szCs w:val="20"/>
                <w:lang w:bidi="ar"/>
              </w:rPr>
              <w:t>奢享美食：5</w:t>
            </w:r>
            <w:r>
              <w:rPr>
                <w:rFonts w:hint="eastAsia" w:ascii="微软雅黑" w:hAnsi="微软雅黑" w:eastAsia="微软雅黑" w:cs="微软雅黑"/>
                <w:color w:val="000000"/>
                <w:kern w:val="0"/>
                <w:sz w:val="20"/>
                <w:szCs w:val="20"/>
                <w:lang w:bidi="ar"/>
              </w:rPr>
              <w:t>早餐 4正餐，其中安排一顿婺源</w:t>
            </w:r>
            <w:r>
              <w:rPr>
                <w:rFonts w:hint="eastAsia" w:ascii="微软雅黑" w:hAnsi="微软雅黑" w:eastAsia="微软雅黑" w:cs="微软雅黑"/>
                <w:b/>
                <w:bCs/>
                <w:color w:val="FF0000"/>
                <w:kern w:val="0"/>
                <w:sz w:val="20"/>
                <w:szCs w:val="20"/>
                <w:lang w:bidi="ar"/>
              </w:rPr>
              <w:t>徽宴+庐山三石宴</w:t>
            </w:r>
            <w:r>
              <w:rPr>
                <w:rFonts w:hint="eastAsia" w:ascii="微软雅黑" w:hAnsi="微软雅黑" w:eastAsia="微软雅黑" w:cs="微软雅黑"/>
                <w:b/>
                <w:bCs/>
                <w:kern w:val="0"/>
                <w:sz w:val="20"/>
                <w:szCs w:val="20"/>
                <w:lang w:bidi="ar"/>
              </w:rPr>
              <w:t>：</w:t>
            </w:r>
          </w:p>
          <w:p w14:paraId="3263DFF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rPr>
            </w:pPr>
            <w:r>
              <w:rPr>
                <w:rFonts w:hint="eastAsia" w:ascii="微软雅黑" w:hAnsi="微软雅黑" w:eastAsia="微软雅黑" w:cs="微软雅黑"/>
                <w:b/>
                <w:bCs/>
                <w:color w:val="000000"/>
                <w:kern w:val="0"/>
                <w:sz w:val="20"/>
                <w:szCs w:val="20"/>
                <w:lang w:bidi="ar"/>
              </w:rPr>
              <w:t xml:space="preserve">奢享景点： </w:t>
            </w:r>
            <w:r>
              <w:rPr>
                <w:rFonts w:hint="eastAsia" w:ascii="微软雅黑" w:hAnsi="微软雅黑" w:eastAsia="微软雅黑" w:cs="微软雅黑"/>
                <w:b/>
                <w:bCs/>
                <w:color w:val="000000"/>
                <w:kern w:val="0"/>
                <w:sz w:val="20"/>
                <w:szCs w:val="20"/>
                <w:lang w:bidi="ar"/>
              </w:rPr>
              <w:br w:type="textWrapping"/>
            </w:r>
            <w:r>
              <w:rPr>
                <w:rFonts w:hint="eastAsia" w:ascii="微软雅黑" w:hAnsi="微软雅黑" w:eastAsia="微软雅黑" w:cs="微软雅黑"/>
                <w:b/>
                <w:bCs/>
                <w:color w:val="548DD4"/>
                <w:kern w:val="0"/>
                <w:sz w:val="20"/>
                <w:szCs w:val="20"/>
                <w:lang w:bidi="ar"/>
              </w:rPr>
              <w:t>●中国第一大淡水湖生态湿地--“鄱阳湖湿地公园”.观天下奇观候鸟翔集：</w:t>
            </w:r>
          </w:p>
          <w:p w14:paraId="3C92E8D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rPr>
            </w:pPr>
            <w:r>
              <w:rPr>
                <w:rFonts w:hint="eastAsia" w:ascii="微软雅黑" w:hAnsi="微软雅黑" w:eastAsia="微软雅黑" w:cs="微软雅黑"/>
                <w:b/>
                <w:bCs/>
                <w:color w:val="548DD4"/>
                <w:kern w:val="0"/>
                <w:sz w:val="20"/>
                <w:szCs w:val="20"/>
                <w:lang w:bidi="ar"/>
              </w:rPr>
              <w:t>●抖音最热门最火爆夜景出片圣地</w:t>
            </w:r>
            <w:r>
              <w:rPr>
                <w:rFonts w:hint="eastAsia" w:ascii="微软雅黑" w:hAnsi="微软雅黑" w:eastAsia="微软雅黑" w:cs="微软雅黑"/>
                <w:b/>
                <w:bCs/>
                <w:color w:val="548DD4"/>
                <w:kern w:val="0"/>
                <w:sz w:val="20"/>
                <w:szCs w:val="20"/>
                <w:lang w:val="en-US" w:eastAsia="zh-CN" w:bidi="ar"/>
              </w:rPr>
              <w:t xml:space="preserve"> </w:t>
            </w:r>
            <w:r>
              <w:rPr>
                <w:rFonts w:hint="eastAsia" w:ascii="微软雅黑" w:hAnsi="微软雅黑" w:eastAsia="微软雅黑" w:cs="微软雅黑"/>
                <w:b/>
                <w:bCs/>
                <w:color w:val="548DD4"/>
                <w:kern w:val="0"/>
                <w:sz w:val="20"/>
                <w:szCs w:val="20"/>
                <w:lang w:bidi="ar"/>
              </w:rPr>
              <w:t xml:space="preserve">—“望仙谷”； </w:t>
            </w:r>
          </w:p>
          <w:p w14:paraId="6AFBFE4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rPr>
            </w:pPr>
            <w:r>
              <w:rPr>
                <w:rFonts w:hint="eastAsia" w:ascii="微软雅黑" w:hAnsi="微软雅黑" w:eastAsia="微软雅黑" w:cs="微软雅黑"/>
                <w:b/>
                <w:bCs/>
                <w:color w:val="548DD4"/>
                <w:kern w:val="0"/>
                <w:sz w:val="20"/>
                <w:szCs w:val="20"/>
                <w:lang w:bidi="ar"/>
              </w:rPr>
              <w:t>●道教名山-祈福安康-体验不一样的山脉建筑</w:t>
            </w:r>
            <w:r>
              <w:rPr>
                <w:rFonts w:hint="eastAsia" w:ascii="微软雅黑" w:hAnsi="微软雅黑" w:eastAsia="微软雅黑" w:cs="微软雅黑"/>
                <w:b/>
                <w:bCs/>
                <w:color w:val="548DD4"/>
                <w:kern w:val="0"/>
                <w:sz w:val="20"/>
                <w:szCs w:val="20"/>
                <w:lang w:val="en-US" w:eastAsia="zh-CN" w:bidi="ar"/>
              </w:rPr>
              <w:t xml:space="preserve"> </w:t>
            </w:r>
            <w:r>
              <w:rPr>
                <w:rFonts w:hint="eastAsia" w:ascii="微软雅黑" w:hAnsi="微软雅黑" w:eastAsia="微软雅黑" w:cs="微软雅黑"/>
                <w:b/>
                <w:bCs/>
                <w:color w:val="548DD4"/>
                <w:kern w:val="0"/>
                <w:sz w:val="20"/>
                <w:szCs w:val="20"/>
                <w:lang w:bidi="ar"/>
              </w:rPr>
              <w:t>—“三清山” ：</w:t>
            </w:r>
          </w:p>
          <w:p w14:paraId="60562EF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rPr>
            </w:pPr>
            <w:r>
              <w:rPr>
                <w:rFonts w:hint="eastAsia" w:ascii="微软雅黑" w:hAnsi="微软雅黑" w:eastAsia="微软雅黑" w:cs="微软雅黑"/>
                <w:b/>
                <w:bCs/>
                <w:color w:val="548DD4"/>
                <w:kern w:val="0"/>
                <w:sz w:val="20"/>
                <w:szCs w:val="20"/>
                <w:lang w:bidi="ar"/>
              </w:rPr>
              <w:t>●国家 5A 级，江西最值得观看的油菜花梯田美景</w:t>
            </w:r>
            <w:r>
              <w:rPr>
                <w:rFonts w:hint="eastAsia" w:ascii="微软雅黑" w:hAnsi="微软雅黑" w:eastAsia="微软雅黑" w:cs="微软雅黑"/>
                <w:b/>
                <w:bCs/>
                <w:color w:val="548DD4"/>
                <w:kern w:val="0"/>
                <w:sz w:val="20"/>
                <w:szCs w:val="20"/>
                <w:lang w:val="en-US" w:eastAsia="zh-CN" w:bidi="ar"/>
              </w:rPr>
              <w:t xml:space="preserve"> </w:t>
            </w:r>
            <w:r>
              <w:rPr>
                <w:rFonts w:hint="eastAsia" w:ascii="微软雅黑" w:hAnsi="微软雅黑" w:eastAsia="微软雅黑" w:cs="微软雅黑"/>
                <w:b/>
                <w:bCs/>
                <w:color w:val="548DD4"/>
                <w:kern w:val="0"/>
                <w:sz w:val="20"/>
                <w:szCs w:val="20"/>
                <w:lang w:bidi="ar"/>
              </w:rPr>
              <w:t xml:space="preserve">—“婺源篁岭” </w:t>
            </w:r>
          </w:p>
          <w:p w14:paraId="6554F02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rPr>
            </w:pPr>
            <w:r>
              <w:rPr>
                <w:rFonts w:hint="eastAsia" w:ascii="微软雅黑" w:hAnsi="微软雅黑" w:eastAsia="微软雅黑" w:cs="微软雅黑"/>
                <w:b/>
                <w:bCs/>
                <w:color w:val="548DD4"/>
                <w:kern w:val="0"/>
                <w:sz w:val="20"/>
                <w:szCs w:val="20"/>
                <w:lang w:bidi="ar"/>
              </w:rPr>
              <w:t>●世界著名的陶瓷盛产小镇</w:t>
            </w:r>
            <w:r>
              <w:rPr>
                <w:rFonts w:hint="eastAsia" w:ascii="微软雅黑" w:hAnsi="微软雅黑" w:eastAsia="微软雅黑" w:cs="微软雅黑"/>
                <w:b/>
                <w:bCs/>
                <w:color w:val="548DD4"/>
                <w:kern w:val="0"/>
                <w:sz w:val="20"/>
                <w:szCs w:val="20"/>
                <w:lang w:val="en-US" w:eastAsia="zh-CN" w:bidi="ar"/>
              </w:rPr>
              <w:t xml:space="preserve"> </w:t>
            </w:r>
            <w:r>
              <w:rPr>
                <w:rFonts w:hint="eastAsia" w:ascii="微软雅黑" w:hAnsi="微软雅黑" w:eastAsia="微软雅黑" w:cs="微软雅黑"/>
                <w:b/>
                <w:bCs/>
                <w:color w:val="548DD4"/>
                <w:kern w:val="0"/>
                <w:sz w:val="20"/>
                <w:szCs w:val="20"/>
                <w:lang w:bidi="ar"/>
              </w:rPr>
              <w:t xml:space="preserve">—“景德镇” </w:t>
            </w:r>
          </w:p>
          <w:p w14:paraId="068EF9DE">
            <w:pPr>
              <w:keepNext w:val="0"/>
              <w:keepLines w:val="0"/>
              <w:pageBreakBefore w:val="0"/>
              <w:widowControl/>
              <w:kinsoku/>
              <w:wordWrap/>
              <w:overflowPunct/>
              <w:topLinePunct w:val="0"/>
              <w:autoSpaceDE/>
              <w:autoSpaceDN/>
              <w:bidi w:val="0"/>
              <w:adjustRightInd/>
              <w:snapToGrid w:val="0"/>
              <w:spacing w:line="240" w:lineRule="auto"/>
              <w:jc w:val="left"/>
              <w:textAlignment w:val="auto"/>
              <w:rPr>
                <w:rStyle w:val="11"/>
                <w:rFonts w:hint="eastAsia" w:ascii="微软雅黑" w:hAnsi="微软雅黑" w:eastAsia="微软雅黑" w:cs="微软雅黑"/>
                <w:color w:val="F6EEEC" w:themeColor="accent5" w:themeTint="33"/>
                <w:sz w:val="22"/>
                <w:szCs w:val="22"/>
                <w14:textFill>
                  <w14:solidFill>
                    <w14:schemeClr w14:val="accent5">
                      <w14:lumMod w14:val="20000"/>
                      <w14:lumOff w14:val="80000"/>
                    </w14:schemeClr>
                  </w14:solidFill>
                </w14:textFill>
              </w:rPr>
            </w:pPr>
            <w:r>
              <w:rPr>
                <w:rFonts w:hint="eastAsia" w:ascii="微软雅黑" w:hAnsi="微软雅黑" w:eastAsia="微软雅黑" w:cs="微软雅黑"/>
                <w:b/>
                <w:bCs/>
                <w:color w:val="548DD4"/>
                <w:kern w:val="0"/>
                <w:sz w:val="20"/>
                <w:szCs w:val="20"/>
                <w:lang w:bidi="ar"/>
              </w:rPr>
              <w:t>●不到三叠泉.不算庐山客</w:t>
            </w:r>
            <w:r>
              <w:rPr>
                <w:rFonts w:hint="eastAsia" w:ascii="微软雅黑" w:hAnsi="微软雅黑" w:eastAsia="微软雅黑" w:cs="微软雅黑"/>
                <w:b/>
                <w:bCs/>
                <w:color w:val="548DD4"/>
                <w:kern w:val="0"/>
                <w:sz w:val="20"/>
                <w:szCs w:val="20"/>
                <w:lang w:val="en-US" w:eastAsia="zh-CN" w:bidi="ar"/>
              </w:rPr>
              <w:t xml:space="preserve"> </w:t>
            </w:r>
            <w:r>
              <w:rPr>
                <w:rFonts w:hint="eastAsia" w:ascii="微软雅黑" w:hAnsi="微软雅黑" w:eastAsia="微软雅黑" w:cs="微软雅黑"/>
                <w:b/>
                <w:bCs/>
                <w:color w:val="548DD4"/>
                <w:kern w:val="0"/>
                <w:sz w:val="20"/>
                <w:szCs w:val="20"/>
                <w:lang w:bidi="ar"/>
              </w:rPr>
              <w:t xml:space="preserve">—“庐山三叠泉” </w:t>
            </w:r>
          </w:p>
        </w:tc>
      </w:tr>
      <w:tr w14:paraId="35FED388">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555" w:hRule="atLeast"/>
        </w:trPr>
        <w:tc>
          <w:tcPr>
            <w:tcW w:w="605" w:type="dxa"/>
            <w:tcBorders>
              <w:top w:val="single" w:color="auto" w:sz="4" w:space="0"/>
              <w:tl2br w:val="nil"/>
              <w:tr2bl w:val="nil"/>
            </w:tcBorders>
            <w:shd w:val="clear" w:color="auto" w:fill="B98F82" w:themeFill="accent1" w:themeFillShade="BF"/>
          </w:tcPr>
          <w:p w14:paraId="49E76812">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color w:val="F6EEEC" w:themeColor="accent5" w:themeTint="33"/>
                <w:sz w:val="22"/>
                <w:szCs w:val="22"/>
                <w14:textFill>
                  <w14:solidFill>
                    <w14:schemeClr w14:val="accent5">
                      <w14:lumMod w14:val="20000"/>
                      <w14:lumOff w14:val="80000"/>
                    </w14:schemeClr>
                  </w14:solidFill>
                </w14:textFill>
              </w:rPr>
            </w:pPr>
            <w:r>
              <w:rPr>
                <w:rStyle w:val="11"/>
                <w:rFonts w:hint="eastAsia" w:ascii="微软雅黑" w:hAnsi="微软雅黑" w:eastAsia="微软雅黑" w:cs="微软雅黑"/>
                <w:color w:val="F6EEEC" w:themeColor="accent5" w:themeTint="33"/>
                <w:sz w:val="22"/>
                <w:szCs w:val="22"/>
                <w14:textFill>
                  <w14:solidFill>
                    <w14:schemeClr w14:val="accent5">
                      <w14:lumMod w14:val="20000"/>
                      <w14:lumOff w14:val="80000"/>
                    </w14:schemeClr>
                  </w14:solidFill>
                </w14:textFill>
              </w:rPr>
              <w:t>天数</w:t>
            </w:r>
          </w:p>
        </w:tc>
        <w:tc>
          <w:tcPr>
            <w:tcW w:w="9817" w:type="dxa"/>
            <w:tcBorders>
              <w:top w:val="single" w:color="auto" w:sz="4" w:space="0"/>
              <w:tl2br w:val="nil"/>
              <w:tr2bl w:val="nil"/>
            </w:tcBorders>
            <w:shd w:val="clear" w:color="auto" w:fill="B98F82" w:themeFill="accent1" w:themeFillShade="BF"/>
          </w:tcPr>
          <w:p w14:paraId="4D905AF9">
            <w:pPr>
              <w:pStyle w:val="14"/>
              <w:keepNext w:val="0"/>
              <w:keepLines w:val="0"/>
              <w:pageBreakBefore w:val="0"/>
              <w:kinsoku/>
              <w:wordWrap/>
              <w:overflowPunct/>
              <w:topLinePunct w:val="0"/>
              <w:autoSpaceDE/>
              <w:autoSpaceDN/>
              <w:bidi w:val="0"/>
              <w:snapToGrid w:val="0"/>
              <w:spacing w:line="240" w:lineRule="auto"/>
              <w:textAlignment w:val="auto"/>
              <w:rPr>
                <w:rStyle w:val="11"/>
                <w:rFonts w:hint="eastAsia" w:ascii="微软雅黑" w:hAnsi="微软雅黑" w:eastAsia="微软雅黑" w:cs="微软雅黑"/>
                <w:color w:val="F6EEEC" w:themeColor="accent5" w:themeTint="33"/>
                <w:sz w:val="22"/>
                <w:szCs w:val="22"/>
                <w14:textFill>
                  <w14:solidFill>
                    <w14:schemeClr w14:val="accent5">
                      <w14:lumMod w14:val="20000"/>
                      <w14:lumOff w14:val="80000"/>
                    </w14:schemeClr>
                  </w14:solidFill>
                </w14:textFill>
              </w:rPr>
            </w:pPr>
            <w:r>
              <w:rPr>
                <w:rStyle w:val="11"/>
                <w:rFonts w:hint="eastAsia" w:ascii="微软雅黑" w:hAnsi="微软雅黑" w:eastAsia="微软雅黑" w:cs="微软雅黑"/>
                <w:color w:val="F6EEEC" w:themeColor="accent5" w:themeTint="33"/>
                <w:sz w:val="22"/>
                <w:szCs w:val="22"/>
                <w14:textFill>
                  <w14:solidFill>
                    <w14:schemeClr w14:val="accent5">
                      <w14:lumMod w14:val="20000"/>
                      <w14:lumOff w14:val="80000"/>
                    </w14:schemeClr>
                  </w14:solidFill>
                </w14:textFill>
              </w:rPr>
              <w:t>行程内容</w:t>
            </w:r>
          </w:p>
        </w:tc>
      </w:tr>
      <w:tr w14:paraId="2106415D">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229" w:hRule="atLeast"/>
        </w:trPr>
        <w:tc>
          <w:tcPr>
            <w:tcW w:w="605" w:type="dxa"/>
            <w:vMerge w:val="restart"/>
            <w:tcBorders>
              <w:tl2br w:val="nil"/>
              <w:tr2bl w:val="nil"/>
            </w:tcBorders>
            <w:vAlign w:val="center"/>
          </w:tcPr>
          <w:p w14:paraId="0C05D06A">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2"/>
                <w:szCs w:val="22"/>
              </w:rPr>
              <w:t>D1</w:t>
            </w:r>
          </w:p>
        </w:tc>
        <w:tc>
          <w:tcPr>
            <w:tcW w:w="9817" w:type="dxa"/>
            <w:tcBorders>
              <w:tl2br w:val="nil"/>
              <w:tr2bl w:val="nil"/>
            </w:tcBorders>
            <w:shd w:val="clear" w:color="auto" w:fill="EEE4DE" w:themeFill="accent6" w:themeFillTint="32"/>
          </w:tcPr>
          <w:p w14:paraId="56193B56">
            <w:pPr>
              <w:keepNext w:val="0"/>
              <w:keepLines w:val="0"/>
              <w:pageBreakBefore w:val="0"/>
              <w:kinsoku/>
              <w:wordWrap/>
              <w:overflowPunct/>
              <w:topLinePunct w:val="0"/>
              <w:autoSpaceDE/>
              <w:autoSpaceDN/>
              <w:bidi w:val="0"/>
              <w:snapToGrid w:val="0"/>
              <w:spacing w:line="240" w:lineRule="auto"/>
              <w:textAlignment w:val="auto"/>
              <w:rPr>
                <w:rStyle w:val="11"/>
                <w:rFonts w:hint="eastAsia" w:ascii="微软雅黑" w:hAnsi="微软雅黑" w:eastAsia="微软雅黑" w:cs="微软雅黑"/>
                <w:sz w:val="20"/>
                <w:szCs w:val="20"/>
                <w:lang w:eastAsia="zh-CN"/>
              </w:rPr>
            </w:pPr>
            <w:r>
              <w:rPr>
                <w:rStyle w:val="11"/>
                <w:rFonts w:hint="eastAsia" w:ascii="微软雅黑" w:hAnsi="微软雅黑" w:eastAsia="微软雅黑" w:cs="微软雅黑"/>
                <w:sz w:val="28"/>
                <w:szCs w:val="28"/>
                <w:lang w:val="zh-CN"/>
              </w:rPr>
              <w:t xml:space="preserve">成都→南昌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住：南昌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餐：</w:t>
            </w:r>
            <w:r>
              <w:rPr>
                <w:rStyle w:val="11"/>
                <w:rFonts w:hint="eastAsia" w:ascii="微软雅黑" w:hAnsi="微软雅黑" w:eastAsia="微软雅黑" w:cs="微软雅黑"/>
                <w:sz w:val="28"/>
                <w:szCs w:val="28"/>
                <w:lang w:val="en-US" w:eastAsia="zh-CN"/>
              </w:rPr>
              <w:t>自理</w:t>
            </w:r>
          </w:p>
        </w:tc>
      </w:tr>
      <w:tr w14:paraId="71A9ABA2">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90" w:hRule="atLeast"/>
        </w:trPr>
        <w:tc>
          <w:tcPr>
            <w:tcW w:w="605" w:type="dxa"/>
            <w:vMerge w:val="continue"/>
            <w:tcBorders>
              <w:tl2br w:val="nil"/>
              <w:tr2bl w:val="nil"/>
            </w:tcBorders>
            <w:vAlign w:val="center"/>
          </w:tcPr>
          <w:p w14:paraId="08064E9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4F740A90">
            <w:pPr>
              <w:keepNext w:val="0"/>
              <w:keepLines w:val="0"/>
              <w:pageBreakBefore w:val="0"/>
              <w:widowControl/>
              <w:kinsoku/>
              <w:wordWrap/>
              <w:overflowPunct/>
              <w:topLinePunct w:val="0"/>
              <w:autoSpaceDE/>
              <w:autoSpaceDN/>
              <w:bidi w:val="0"/>
              <w:snapToGrid w:val="0"/>
              <w:spacing w:line="240" w:lineRule="auto"/>
              <w:ind w:left="1" w:leftChars="-11" w:hanging="24" w:hangingChars="10"/>
              <w:jc w:val="left"/>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【贵宾专享】赠送24小时免费接站/接机，0等待！</w:t>
            </w:r>
          </w:p>
          <w:p w14:paraId="7501234F">
            <w:pPr>
              <w:keepNext w:val="0"/>
              <w:keepLines w:val="0"/>
              <w:pageBreakBefore w:val="0"/>
              <w:widowControl/>
              <w:kinsoku/>
              <w:wordWrap/>
              <w:overflowPunct/>
              <w:topLinePunct w:val="0"/>
              <w:autoSpaceDE/>
              <w:autoSpaceDN/>
              <w:bidi w:val="0"/>
              <w:snapToGrid w:val="0"/>
              <w:spacing w:line="240" w:lineRule="auto"/>
              <w:ind w:left="0" w:leftChars="0" w:firstLine="458" w:firstLineChars="191"/>
              <w:jc w:val="left"/>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lang w:val="en-US" w:eastAsia="zh-CN"/>
              </w:rPr>
              <w:t>各位</w:t>
            </w:r>
            <w:r>
              <w:rPr>
                <w:rFonts w:hint="eastAsia" w:ascii="微软雅黑" w:hAnsi="微软雅黑" w:eastAsia="微软雅黑" w:cs="微软雅黑"/>
                <w:bCs/>
                <w:kern w:val="0"/>
                <w:sz w:val="24"/>
                <w:szCs w:val="24"/>
              </w:rPr>
              <w:t>贵宾</w:t>
            </w:r>
            <w:r>
              <w:rPr>
                <w:rFonts w:hint="eastAsia" w:ascii="微软雅黑" w:hAnsi="微软雅黑" w:eastAsia="微软雅黑" w:cs="微软雅黑"/>
                <w:bCs/>
                <w:kern w:val="0"/>
                <w:sz w:val="24"/>
                <w:szCs w:val="24"/>
                <w:lang w:val="en-US" w:eastAsia="zh-CN"/>
              </w:rPr>
              <w:t>乘飞机或动车</w:t>
            </w:r>
            <w:r>
              <w:rPr>
                <w:rFonts w:hint="eastAsia" w:ascii="微软雅黑" w:hAnsi="微软雅黑" w:eastAsia="微软雅黑" w:cs="微软雅黑"/>
                <w:bCs/>
                <w:kern w:val="0"/>
                <w:sz w:val="24"/>
                <w:szCs w:val="24"/>
              </w:rPr>
              <w:t>抵达南昌，我社赠送接站服务（飞机或高铁或火车抵达均可以安排接</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bCs/>
                <w:kern w:val="0"/>
                <w:sz w:val="24"/>
                <w:szCs w:val="24"/>
              </w:rPr>
              <w:t>，我司接站工作人员会提前在火车站/机场等候，接到后安排送您到酒店入住休息。</w:t>
            </w:r>
            <w:r>
              <w:rPr>
                <w:rFonts w:hint="eastAsia" w:ascii="微软雅黑" w:hAnsi="微软雅黑" w:eastAsia="微软雅黑" w:cs="微软雅黑"/>
                <w:bCs/>
                <w:kern w:val="0"/>
                <w:sz w:val="24"/>
                <w:szCs w:val="24"/>
              </w:rPr>
              <w:br w:type="textWrapping"/>
            </w:r>
            <w:r>
              <w:rPr>
                <w:rFonts w:hint="eastAsia" w:ascii="微软雅黑" w:hAnsi="微软雅黑" w:eastAsia="微软雅黑" w:cs="微软雅黑"/>
                <w:b/>
                <w:bCs w:val="0"/>
                <w:kern w:val="0"/>
                <w:sz w:val="24"/>
                <w:szCs w:val="24"/>
              </w:rPr>
              <w:t>温馨提示：</w:t>
            </w:r>
            <w:r>
              <w:rPr>
                <w:rFonts w:hint="eastAsia" w:ascii="微软雅黑" w:hAnsi="微软雅黑" w:eastAsia="微软雅黑" w:cs="微软雅黑"/>
                <w:bCs/>
                <w:kern w:val="0"/>
                <w:sz w:val="24"/>
                <w:szCs w:val="24"/>
              </w:rPr>
              <w:br w:type="textWrapping"/>
            </w:r>
            <w:r>
              <w:rPr>
                <w:rFonts w:hint="eastAsia" w:ascii="微软雅黑" w:hAnsi="微软雅黑" w:eastAsia="微软雅黑" w:cs="微软雅黑"/>
                <w:bCs/>
                <w:kern w:val="0"/>
                <w:sz w:val="24"/>
                <w:szCs w:val="24"/>
              </w:rPr>
              <w:t>1.请您在下单时将接送车次/航班填写完整，暂时未购票的客人请您在出行前两天将接送信息告知客服，以便我司安排，如您未备注我们则视为无需接送服务。因每位贵宾抵达时间有所差异，故无法安排行程，以下是自由活动推荐景点，各位贵宾可根据个人兴趣自行前往。</w:t>
            </w:r>
            <w:r>
              <w:rPr>
                <w:rFonts w:hint="eastAsia" w:ascii="微软雅黑" w:hAnsi="微软雅黑" w:eastAsia="微软雅黑" w:cs="微软雅黑"/>
                <w:bCs/>
                <w:kern w:val="0"/>
                <w:sz w:val="24"/>
                <w:szCs w:val="24"/>
              </w:rPr>
              <w:br w:type="textWrapping"/>
            </w:r>
            <w:r>
              <w:rPr>
                <w:rFonts w:hint="eastAsia" w:ascii="微软雅黑" w:hAnsi="微软雅黑" w:eastAsia="微软雅黑" w:cs="微软雅黑"/>
                <w:bCs/>
                <w:kern w:val="0"/>
                <w:sz w:val="24"/>
                <w:szCs w:val="24"/>
              </w:rPr>
              <w:t>2.出团通知书系统会在您出行前一天通过短信方式发送给您，短信内有详情链接，请放心点开，点开后即可看到“导游信息”以及“全程24小时售后管家信息”！</w:t>
            </w:r>
          </w:p>
          <w:p w14:paraId="47B47999">
            <w:pPr>
              <w:keepNext w:val="0"/>
              <w:keepLines w:val="0"/>
              <w:pageBreakBefore w:val="0"/>
              <w:widowControl/>
              <w:kinsoku/>
              <w:wordWrap/>
              <w:overflowPunct/>
              <w:topLinePunct w:val="0"/>
              <w:autoSpaceDE/>
              <w:autoSpaceDN/>
              <w:bidi w:val="0"/>
              <w:snapToGrid w:val="0"/>
              <w:spacing w:line="240" w:lineRule="auto"/>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sz w:val="24"/>
                <w:szCs w:val="24"/>
              </w:rPr>
              <w:t>南昌参考酒店：鼎昇国际.维也纳智选.宜尚酒店.锦湖大酒店、融创诺富特或同级酒店</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以实际安排为准</w:t>
            </w:r>
            <w:r>
              <w:rPr>
                <w:rFonts w:hint="eastAsia" w:ascii="微软雅黑" w:hAnsi="微软雅黑" w:eastAsia="微软雅黑" w:cs="微软雅黑"/>
                <w:b w:val="0"/>
                <w:bCs/>
                <w:sz w:val="24"/>
                <w:szCs w:val="24"/>
                <w:lang w:eastAsia="zh-CN"/>
              </w:rPr>
              <w:t>）</w:t>
            </w:r>
          </w:p>
        </w:tc>
      </w:tr>
      <w:tr w14:paraId="23F5DC09">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229" w:hRule="atLeast"/>
        </w:trPr>
        <w:tc>
          <w:tcPr>
            <w:tcW w:w="605" w:type="dxa"/>
            <w:vMerge w:val="restart"/>
            <w:tcBorders>
              <w:tl2br w:val="nil"/>
              <w:tr2bl w:val="nil"/>
            </w:tcBorders>
            <w:vAlign w:val="center"/>
          </w:tcPr>
          <w:p w14:paraId="152A69E1">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2"/>
                <w:szCs w:val="22"/>
              </w:rPr>
              <w:t>D2</w:t>
            </w:r>
          </w:p>
        </w:tc>
        <w:tc>
          <w:tcPr>
            <w:tcW w:w="9817" w:type="dxa"/>
            <w:tcBorders>
              <w:tl2br w:val="nil"/>
              <w:tr2bl w:val="nil"/>
            </w:tcBorders>
            <w:shd w:val="clear" w:color="auto" w:fill="EEE4DE" w:themeFill="accent6" w:themeFillTint="32"/>
          </w:tcPr>
          <w:p w14:paraId="172C9251">
            <w:pPr>
              <w:keepNext w:val="0"/>
              <w:keepLines w:val="0"/>
              <w:pageBreakBefore w:val="0"/>
              <w:kinsoku/>
              <w:wordWrap/>
              <w:overflowPunct/>
              <w:topLinePunct w:val="0"/>
              <w:autoSpaceDE/>
              <w:autoSpaceDN/>
              <w:bidi w:val="0"/>
              <w:snapToGrid w:val="0"/>
              <w:spacing w:line="240" w:lineRule="auto"/>
              <w:jc w:val="left"/>
              <w:textAlignment w:val="auto"/>
              <w:rPr>
                <w:rStyle w:val="11"/>
                <w:rFonts w:hint="eastAsia" w:ascii="微软雅黑" w:hAnsi="微软雅黑" w:eastAsia="微软雅黑" w:cs="微软雅黑"/>
                <w:szCs w:val="21"/>
              </w:rPr>
            </w:pPr>
            <w:r>
              <w:rPr>
                <w:rStyle w:val="11"/>
                <w:rFonts w:hint="eastAsia" w:ascii="微软雅黑" w:hAnsi="微软雅黑" w:eastAsia="微软雅黑" w:cs="微软雅黑"/>
                <w:sz w:val="28"/>
                <w:szCs w:val="28"/>
                <w:lang w:val="zh-CN"/>
              </w:rPr>
              <w:t>南昌-鄱阳湖湿地公园-望仙谷-三清山   住：三清山</w:t>
            </w:r>
            <w:r>
              <w:rPr>
                <w:rStyle w:val="11"/>
                <w:rFonts w:hint="eastAsia" w:ascii="微软雅黑" w:hAnsi="微软雅黑" w:eastAsia="微软雅黑" w:cs="微软雅黑"/>
                <w:sz w:val="28"/>
                <w:szCs w:val="28"/>
                <w:lang w:val="en-US" w:eastAsia="zh-CN"/>
              </w:rPr>
              <w:t>或</w:t>
            </w:r>
            <w:r>
              <w:rPr>
                <w:rStyle w:val="11"/>
                <w:rFonts w:hint="eastAsia" w:ascii="微软雅黑" w:hAnsi="微软雅黑" w:eastAsia="微软雅黑" w:cs="微软雅黑"/>
                <w:sz w:val="28"/>
                <w:szCs w:val="28"/>
                <w:lang w:val="zh-CN"/>
              </w:rPr>
              <w:t>望仙谷外     餐：早晚</w:t>
            </w:r>
          </w:p>
        </w:tc>
      </w:tr>
      <w:tr w14:paraId="5B31D217">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1737" w:hRule="atLeast"/>
        </w:trPr>
        <w:tc>
          <w:tcPr>
            <w:tcW w:w="605" w:type="dxa"/>
            <w:vMerge w:val="continue"/>
            <w:tcBorders>
              <w:tl2br w:val="nil"/>
              <w:tr2bl w:val="nil"/>
            </w:tcBorders>
            <w:vAlign w:val="center"/>
          </w:tcPr>
          <w:p w14:paraId="2A06F7F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6864CA5A">
            <w:pPr>
              <w:pStyle w:val="17"/>
              <w:keepNext w:val="0"/>
              <w:keepLines w:val="0"/>
              <w:pageBreakBefore w:val="0"/>
              <w:kinsoku/>
              <w:wordWrap/>
              <w:overflowPunct/>
              <w:topLinePunct w:val="0"/>
              <w:autoSpaceDE/>
              <w:autoSpaceDN/>
              <w:bidi w:val="0"/>
              <w:snapToGrid w:val="0"/>
              <w:spacing w:line="240" w:lineRule="auto"/>
              <w:ind w:left="1"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早餐后车赴赠送</w:t>
            </w:r>
            <w:r>
              <w:rPr>
                <w:rFonts w:hint="eastAsia" w:ascii="微软雅黑" w:hAnsi="微软雅黑" w:eastAsia="微软雅黑" w:cs="微软雅黑"/>
                <w:color w:val="0070C0"/>
                <w:sz w:val="24"/>
                <w:szCs w:val="24"/>
              </w:rPr>
              <w:t>【</w:t>
            </w:r>
            <w:r>
              <w:rPr>
                <w:rFonts w:hint="eastAsia" w:ascii="微软雅黑" w:hAnsi="微软雅黑" w:eastAsia="微软雅黑" w:cs="微软雅黑"/>
                <w:b/>
                <w:bCs/>
                <w:color w:val="0070C0"/>
                <w:sz w:val="24"/>
                <w:szCs w:val="24"/>
              </w:rPr>
              <w:t>鄱阳湖国家湿地公园</w:t>
            </w:r>
            <w:r>
              <w:rPr>
                <w:rFonts w:hint="eastAsia" w:ascii="微软雅黑" w:hAnsi="微软雅黑" w:eastAsia="微软雅黑" w:cs="微软雅黑"/>
                <w:color w:val="0070C0"/>
                <w:sz w:val="24"/>
                <w:szCs w:val="24"/>
              </w:rPr>
              <w:t>】</w:t>
            </w:r>
            <w:r>
              <w:rPr>
                <w:rFonts w:hint="eastAsia" w:ascii="微软雅黑" w:hAnsi="微软雅黑" w:eastAsia="微软雅黑" w:cs="微软雅黑"/>
                <w:sz w:val="24"/>
                <w:szCs w:val="24"/>
              </w:rPr>
              <w:t>（车程2.5小时、赠送无优无免，不去不退费），途径旅游木栈道达乌金汊生态旅游码头，抵达景区后乘</w:t>
            </w:r>
            <w:r>
              <w:rPr>
                <w:rFonts w:hint="eastAsia" w:ascii="微软雅黑" w:hAnsi="微软雅黑" w:eastAsia="微软雅黑" w:cs="微软雅黑"/>
                <w:b/>
                <w:bCs/>
                <w:sz w:val="24"/>
                <w:szCs w:val="24"/>
              </w:rPr>
              <w:t>景区游船</w:t>
            </w:r>
            <w:r>
              <w:rPr>
                <w:rFonts w:hint="eastAsia" w:ascii="微软雅黑" w:hAnsi="微软雅黑" w:eastAsia="微软雅黑" w:cs="微软雅黑"/>
                <w:sz w:val="24"/>
                <w:szCs w:val="24"/>
              </w:rPr>
              <w:t>船（</w:t>
            </w:r>
            <w:r>
              <w:rPr>
                <w:rFonts w:hint="eastAsia" w:ascii="微软雅黑" w:hAnsi="微软雅黑" w:eastAsia="微软雅黑" w:cs="微软雅黑"/>
                <w:b/>
                <w:bCs/>
                <w:color w:val="FF0000"/>
                <w:sz w:val="24"/>
                <w:szCs w:val="24"/>
              </w:rPr>
              <w:t>自理船票100元/人</w:t>
            </w:r>
            <w:r>
              <w:rPr>
                <w:rFonts w:hint="eastAsia" w:ascii="微软雅黑" w:hAnsi="微软雅黑" w:eastAsia="微软雅黑" w:cs="微软雅黑"/>
                <w:sz w:val="24"/>
                <w:szCs w:val="24"/>
              </w:rPr>
              <w:t>.</w:t>
            </w:r>
            <w:r>
              <w:rPr>
                <w:rFonts w:hint="eastAsia" w:ascii="微软雅黑" w:hAnsi="微软雅黑" w:eastAsia="微软雅黑" w:cs="微软雅黑"/>
                <w:bCs/>
                <w:sz w:val="24"/>
                <w:szCs w:val="24"/>
              </w:rPr>
              <w:t>不购买船票无法游览该景区.</w:t>
            </w:r>
            <w:r>
              <w:rPr>
                <w:rFonts w:hint="eastAsia" w:ascii="微软雅黑" w:hAnsi="微软雅黑" w:eastAsia="微软雅黑" w:cs="微软雅黑"/>
                <w:sz w:val="24"/>
                <w:szCs w:val="24"/>
              </w:rPr>
              <w:t>）游龟脑山、龙吼山（约30分钟）揽鄱阳湖美景。后乘船观夏候鸟最聚集的地方----“小南海”俗称瓢里山（15分钟）。后远眺滴水观音像，生态渔村竹溪三岛、斗笠峰（15分钟）它由庙咀、腰里、大宗三个岛屿组成，无蚊村庙咀，一个非常有灵气的地方，等待您的探寻。后赴生态渔村（1小时），感受浓郁的生态鄱阳湖名风名俗，品尝鄱阳湖特色饮食。船赴被誉为“候鸟天堂”、“人间仙境”的观鸟首选地——白沙洲，游览中国湿地博物馆鄱阳湖湿地科学园（约45分钟）。</w:t>
            </w:r>
          </w:p>
          <w:p w14:paraId="7DB3BAEE">
            <w:pPr>
              <w:pStyle w:val="17"/>
              <w:keepNext w:val="0"/>
              <w:keepLines w:val="0"/>
              <w:pageBreakBefore w:val="0"/>
              <w:kinsoku/>
              <w:wordWrap/>
              <w:overflowPunct/>
              <w:topLinePunct w:val="0"/>
              <w:autoSpaceDE/>
              <w:autoSpaceDN/>
              <w:bidi w:val="0"/>
              <w:snapToGrid w:val="0"/>
              <w:spacing w:line="240" w:lineRule="auto"/>
              <w:ind w:left="1"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bCs/>
                <w:sz w:val="24"/>
                <w:szCs w:val="24"/>
                <w:lang w:val="zh-CN"/>
              </w:rPr>
              <w:t>后车赴望仙谷车程约</w:t>
            </w:r>
            <w:r>
              <w:rPr>
                <w:rFonts w:hint="eastAsia" w:ascii="微软雅黑" w:hAnsi="微软雅黑" w:eastAsia="微软雅黑" w:cs="微软雅黑"/>
                <w:bCs/>
                <w:sz w:val="24"/>
                <w:szCs w:val="24"/>
              </w:rPr>
              <w:t>3小时</w:t>
            </w:r>
            <w:r>
              <w:rPr>
                <w:rFonts w:hint="eastAsia" w:ascii="微软雅黑" w:hAnsi="微软雅黑" w:eastAsia="微软雅黑" w:cs="微软雅黑"/>
                <w:bCs/>
                <w:sz w:val="24"/>
                <w:szCs w:val="24"/>
                <w:lang w:val="zh-CN"/>
              </w:rPr>
              <w:t>，</w:t>
            </w:r>
            <w:r>
              <w:rPr>
                <w:rFonts w:hint="eastAsia" w:ascii="微软雅黑" w:hAnsi="微软雅黑" w:eastAsia="微软雅黑" w:cs="微软雅黑"/>
                <w:b/>
                <w:bCs/>
                <w:color w:val="0070C0"/>
                <w:sz w:val="24"/>
                <w:szCs w:val="24"/>
              </w:rPr>
              <w:t>【夜游望仙谷】</w:t>
            </w:r>
            <w:r>
              <w:rPr>
                <w:rFonts w:hint="eastAsia" w:ascii="微软雅黑" w:hAnsi="微软雅黑" w:eastAsia="微软雅黑" w:cs="微软雅黑"/>
                <w:bCs/>
                <w:sz w:val="24"/>
                <w:szCs w:val="24"/>
              </w:rPr>
              <w:t>，是从悬崖顶上朝鹤楼的灯光闪烁开始。”“望仙谷的灯光秀不同别处，自带玉宇琼楼的仙气。仰望白鹤崖，从朝鹤楼上喷薄而出的光柱，冲破雨雾，散发光芒。丝丝光柱，缕缕如烟，似箭，似柱，指向夜空。朝鹤楼的灯光秀，也不总是保持一种姿态。她时而直射，时而平扫，变换不同身姿，也变换不同色彩，多彩的灯光，轻抚山岚，时而如彩带，时而如秀发，飘飞仙谷，轻抚楼宇，绕过山涧，拥抱林木，最后将七彩余光照进瀑布，融入溪流，幻影成仙”。夜幕下的望仙谷灯火通明，从高处俯瞰，整个山谷流光溢彩，灯光亮起的一瞬间，一整个惊艳住，悬崖边的房子和夜晚灯火通明的夜景集市，仿佛一下带您进了动画里的世界。</w:t>
            </w:r>
            <w:r>
              <w:rPr>
                <w:rFonts w:hint="eastAsia" w:ascii="微软雅黑" w:hAnsi="微软雅黑" w:eastAsia="微软雅黑" w:cs="微软雅黑"/>
                <w:bCs/>
                <w:sz w:val="24"/>
                <w:szCs w:val="24"/>
                <w:lang w:val="zh-CN"/>
              </w:rPr>
              <w:t>这里的民俗文化丰富多彩，桥灯、庙会、傩舞、板龙灯，稻米习俗 ....... 人文风情引人注目。入住景区外酒店。</w:t>
            </w:r>
          </w:p>
          <w:p w14:paraId="73172D4D">
            <w:pPr>
              <w:pStyle w:val="17"/>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color w:val="2747BE"/>
                <w:sz w:val="24"/>
                <w:szCs w:val="24"/>
              </w:rPr>
            </w:pPr>
            <w:r>
              <w:rPr>
                <w:rFonts w:hint="eastAsia" w:ascii="微软雅黑" w:hAnsi="微软雅黑" w:eastAsia="微软雅黑" w:cs="微软雅黑"/>
                <w:b/>
                <w:sz w:val="24"/>
                <w:szCs w:val="24"/>
              </w:rPr>
              <w:t>三清山:天龙山大酒店、华克山庄、锦都南星宾馆、玉杉国际、望仙谷外民宿或同级</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以实际安排为准</w:t>
            </w:r>
            <w:r>
              <w:rPr>
                <w:rFonts w:hint="eastAsia" w:ascii="微软雅黑" w:hAnsi="微软雅黑" w:eastAsia="微软雅黑" w:cs="微软雅黑"/>
                <w:b w:val="0"/>
                <w:bCs/>
                <w:sz w:val="24"/>
                <w:szCs w:val="24"/>
                <w:lang w:eastAsia="zh-CN"/>
              </w:rPr>
              <w:t>）</w:t>
            </w:r>
          </w:p>
        </w:tc>
      </w:tr>
      <w:tr w14:paraId="7007CF23">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322" w:hRule="atLeast"/>
        </w:trPr>
        <w:tc>
          <w:tcPr>
            <w:tcW w:w="605" w:type="dxa"/>
            <w:vMerge w:val="restart"/>
            <w:tcBorders>
              <w:tl2br w:val="nil"/>
              <w:tr2bl w:val="nil"/>
            </w:tcBorders>
            <w:vAlign w:val="center"/>
          </w:tcPr>
          <w:p w14:paraId="2155A495">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2"/>
                <w:szCs w:val="22"/>
              </w:rPr>
              <w:t>D3</w:t>
            </w:r>
          </w:p>
        </w:tc>
        <w:tc>
          <w:tcPr>
            <w:tcW w:w="9817" w:type="dxa"/>
            <w:tcBorders>
              <w:tl2br w:val="nil"/>
              <w:tr2bl w:val="nil"/>
            </w:tcBorders>
            <w:shd w:val="clear" w:color="auto" w:fill="EEE4DE" w:themeFill="accent6" w:themeFillTint="32"/>
          </w:tcPr>
          <w:p w14:paraId="6D97B501">
            <w:pPr>
              <w:keepNext w:val="0"/>
              <w:keepLines w:val="0"/>
              <w:pageBreakBefore w:val="0"/>
              <w:kinsoku/>
              <w:wordWrap/>
              <w:overflowPunct/>
              <w:topLinePunct w:val="0"/>
              <w:autoSpaceDE/>
              <w:autoSpaceDN/>
              <w:bidi w:val="0"/>
              <w:adjustRightInd w:val="0"/>
              <w:snapToGrid w:val="0"/>
              <w:spacing w:line="240" w:lineRule="auto"/>
              <w:textAlignment w:val="auto"/>
              <w:rPr>
                <w:rStyle w:val="11"/>
                <w:rFonts w:hint="eastAsia" w:ascii="微软雅黑" w:hAnsi="微软雅黑" w:eastAsia="微软雅黑" w:cs="微软雅黑"/>
                <w:szCs w:val="21"/>
              </w:rPr>
            </w:pPr>
            <w:r>
              <w:rPr>
                <w:rStyle w:val="11"/>
                <w:rFonts w:hint="eastAsia" w:ascii="微软雅黑" w:hAnsi="微软雅黑" w:eastAsia="微软雅黑" w:cs="微软雅黑"/>
                <w:sz w:val="28"/>
                <w:szCs w:val="28"/>
                <w:lang w:val="zh-CN"/>
              </w:rPr>
              <w:t xml:space="preserve">三清山-婺源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住：婺源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餐：早晚</w:t>
            </w:r>
          </w:p>
        </w:tc>
      </w:tr>
      <w:tr w14:paraId="78FA2D87">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1648" w:hRule="atLeast"/>
        </w:trPr>
        <w:tc>
          <w:tcPr>
            <w:tcW w:w="605" w:type="dxa"/>
            <w:vMerge w:val="continue"/>
            <w:tcBorders>
              <w:tl2br w:val="nil"/>
              <w:tr2bl w:val="nil"/>
            </w:tcBorders>
            <w:vAlign w:val="center"/>
          </w:tcPr>
          <w:p w14:paraId="76A2619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37D4BF21">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sz w:val="24"/>
                <w:szCs w:val="24"/>
              </w:rPr>
              <w:t>早餐后</w:t>
            </w:r>
            <w:r>
              <w:rPr>
                <w:rFonts w:hint="eastAsia" w:ascii="微软雅黑" w:hAnsi="微软雅黑" w:eastAsia="微软雅黑" w:cs="微软雅黑"/>
                <w:bCs/>
                <w:sz w:val="24"/>
                <w:szCs w:val="24"/>
                <w:lang w:val="zh-CN"/>
              </w:rPr>
              <w:t>车赴世界自然遗产地—三清山，自费索道上山（</w:t>
            </w:r>
            <w:r>
              <w:rPr>
                <w:rFonts w:hint="eastAsia" w:ascii="微软雅黑" w:hAnsi="微软雅黑" w:eastAsia="微软雅黑" w:cs="微软雅黑"/>
                <w:b/>
                <w:bCs w:val="0"/>
                <w:color w:val="FF0000"/>
                <w:sz w:val="24"/>
                <w:szCs w:val="24"/>
                <w:lang w:val="zh-CN"/>
              </w:rPr>
              <w:t>索道自费125元/人</w:t>
            </w:r>
            <w:r>
              <w:rPr>
                <w:rFonts w:hint="eastAsia" w:ascii="微软雅黑" w:hAnsi="微软雅黑" w:eastAsia="微软雅黑" w:cs="微软雅黑"/>
                <w:bCs/>
                <w:sz w:val="24"/>
                <w:szCs w:val="24"/>
                <w:lang w:val="zh-CN"/>
              </w:rPr>
              <w:t>，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p>
          <w:p w14:paraId="4E86724F">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bCs/>
                <w:sz w:val="24"/>
                <w:szCs w:val="24"/>
                <w:lang w:val="zh-CN"/>
              </w:rPr>
              <w:t>参观</w:t>
            </w:r>
            <w:r>
              <w:rPr>
                <w:rFonts w:hint="eastAsia" w:ascii="微软雅黑" w:hAnsi="微软雅黑" w:eastAsia="微软雅黑" w:cs="微软雅黑"/>
                <w:b/>
                <w:color w:val="2747BE"/>
                <w:sz w:val="24"/>
                <w:szCs w:val="24"/>
                <w:lang w:val="zh-CN"/>
              </w:rPr>
              <w:t>【阳光海岸景区、南清园景区】</w:t>
            </w:r>
            <w:r>
              <w:rPr>
                <w:rFonts w:hint="eastAsia" w:ascii="微软雅黑" w:hAnsi="微软雅黑" w:eastAsia="微软雅黑" w:cs="微软雅黑"/>
                <w:bCs/>
                <w:sz w:val="24"/>
                <w:szCs w:val="24"/>
                <w:lang w:val="zh-CN"/>
              </w:rPr>
              <w:t>赏三清山绝景: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w:t>
            </w:r>
          </w:p>
          <w:p w14:paraId="16DC312B">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Cs/>
                <w:sz w:val="24"/>
                <w:szCs w:val="24"/>
                <w:lang w:val="zh-CN"/>
              </w:rPr>
              <w:t>后</w:t>
            </w:r>
            <w:r>
              <w:rPr>
                <w:rFonts w:hint="eastAsia" w:ascii="微软雅黑" w:hAnsi="微软雅黑" w:eastAsia="微软雅黑" w:cs="微软雅黑"/>
                <w:b/>
                <w:bCs w:val="0"/>
                <w:color w:val="FF0000"/>
                <w:sz w:val="24"/>
                <w:szCs w:val="24"/>
                <w:lang w:val="zh-CN"/>
              </w:rPr>
              <w:t>自费索道</w:t>
            </w:r>
            <w:r>
              <w:rPr>
                <w:rFonts w:hint="eastAsia" w:ascii="微软雅黑" w:hAnsi="微软雅黑" w:eastAsia="微软雅黑" w:cs="微软雅黑"/>
                <w:bCs/>
                <w:sz w:val="24"/>
                <w:szCs w:val="24"/>
                <w:lang w:val="zh-CN"/>
              </w:rPr>
              <w:t>下山，</w:t>
            </w:r>
            <w:r>
              <w:rPr>
                <w:rFonts w:hint="eastAsia" w:ascii="微软雅黑" w:hAnsi="微软雅黑" w:eastAsia="微软雅黑" w:cs="微软雅黑"/>
                <w:sz w:val="24"/>
                <w:szCs w:val="24"/>
              </w:rPr>
              <w:t>前往婺源抵达后</w:t>
            </w:r>
            <w:r>
              <w:rPr>
                <w:rFonts w:hint="eastAsia" w:ascii="微软雅黑" w:hAnsi="微软雅黑" w:eastAsia="微软雅黑" w:cs="微软雅黑"/>
                <w:b/>
                <w:color w:val="2747BE"/>
                <w:sz w:val="24"/>
                <w:szCs w:val="24"/>
                <w:lang w:val="zh-CN"/>
              </w:rPr>
              <w:t>【婺源竹筏漂流】</w:t>
            </w:r>
            <w:r>
              <w:rPr>
                <w:rFonts w:hint="eastAsia" w:ascii="微软雅黑" w:hAnsi="微软雅黑" w:eastAsia="微软雅黑" w:cs="微软雅黑"/>
                <w:bCs/>
                <w:color w:val="000000"/>
                <w:sz w:val="24"/>
                <w:szCs w:val="24"/>
                <w:lang w:val="zh-CN"/>
              </w:rPr>
              <w:t>（自费套餐含）乘坐一条竹筏，踏着水波，穿越美景，在这绿水青山中穿越、轻风徐来，有的游客还情不自禁唱起：“小小竹排水中流，巍巍青山两岸走”，真是别有一番风味</w:t>
            </w:r>
            <w:r>
              <w:rPr>
                <w:rFonts w:hint="eastAsia" w:ascii="微软雅黑" w:hAnsi="微软雅黑" w:eastAsia="微软雅黑" w:cs="微软雅黑"/>
                <w:bCs/>
                <w:color w:val="000000"/>
                <w:sz w:val="24"/>
                <w:szCs w:val="24"/>
              </w:rPr>
              <w:t>。</w:t>
            </w:r>
            <w:r>
              <w:rPr>
                <w:rFonts w:hint="eastAsia" w:ascii="微软雅黑" w:hAnsi="微软雅黑" w:eastAsia="微软雅黑" w:cs="微软雅黑"/>
                <w:sz w:val="24"/>
                <w:szCs w:val="24"/>
              </w:rPr>
              <w:t>在高处俯看，河道弯曲就像一弯新月镶嵌在平原上，蓝天、红叶、清澈河水相衬托，一向以来都是爱景之人的理想观景地点。此时此情此景坐上竹筏，泛舟湖上，感觉更为悠闲惬意，你甚至还可以尝试自己来划桨，又是另外一番体验。</w:t>
            </w:r>
          </w:p>
          <w:p w14:paraId="490B8AF7">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sz w:val="24"/>
                <w:szCs w:val="24"/>
              </w:rPr>
            </w:pPr>
            <w:r>
              <w:rPr>
                <w:rFonts w:hint="eastAsia" w:ascii="微软雅黑" w:hAnsi="微软雅黑" w:eastAsia="微软雅黑" w:cs="微软雅黑"/>
                <w:b/>
                <w:bCs w:val="0"/>
                <w:color w:val="FF0000"/>
                <w:sz w:val="24"/>
                <w:szCs w:val="24"/>
                <w:lang w:val="zh-CN"/>
              </w:rPr>
              <w:t>可参加自费套餐游览【婺女洲】：</w:t>
            </w:r>
            <w:r>
              <w:rPr>
                <w:rFonts w:hint="eastAsia" w:ascii="微软雅黑" w:hAnsi="微软雅黑" w:eastAsia="微软雅黑" w:cs="微软雅黑"/>
                <w:bCs/>
                <w:sz w:val="24"/>
                <w:szCs w:val="24"/>
                <w:lang w:val="zh-CN"/>
              </w:rPr>
              <w:t>游览【婺女洲】度假区以婺源深厚的徽州历史文化底蕴为基础，以婺源“婺女飞天”传说的故事为线索的中国徽艺文旅微度假小镇。婺女洲看大型山水实景演出</w:t>
            </w:r>
            <w:r>
              <w:rPr>
                <w:rFonts w:hint="eastAsia" w:ascii="微软雅黑" w:hAnsi="微软雅黑" w:eastAsia="微软雅黑" w:cs="微软雅黑"/>
                <w:b/>
                <w:color w:val="2747BE"/>
                <w:sz w:val="24"/>
                <w:szCs w:val="24"/>
                <w:lang w:val="zh-CN"/>
              </w:rPr>
              <w:t>《遇见·婺源》</w:t>
            </w:r>
            <w:r>
              <w:rPr>
                <w:rFonts w:hint="eastAsia" w:ascii="微软雅黑" w:hAnsi="微软雅黑" w:eastAsia="微软雅黑" w:cs="微软雅黑"/>
                <w:bCs/>
                <w:sz w:val="24"/>
                <w:szCs w:val="24"/>
                <w:lang w:val="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color w:val="2747BE"/>
                <w:sz w:val="24"/>
                <w:szCs w:val="24"/>
                <w:lang w:val="zh-CN"/>
              </w:rPr>
              <w:t>《天工开物》</w:t>
            </w:r>
            <w:r>
              <w:rPr>
                <w:rFonts w:hint="eastAsia" w:ascii="微软雅黑" w:hAnsi="微软雅黑" w:eastAsia="微软雅黑" w:cs="微软雅黑"/>
                <w:bCs/>
                <w:sz w:val="24"/>
                <w:szCs w:val="24"/>
                <w:lang w:val="zh-CN"/>
              </w:rPr>
              <w:t>，以五显财神起源及故事为核心元素的祈福文化水幕光影秀</w:t>
            </w:r>
            <w:r>
              <w:rPr>
                <w:rFonts w:hint="eastAsia" w:ascii="微软雅黑" w:hAnsi="微软雅黑" w:eastAsia="微软雅黑" w:cs="微软雅黑"/>
                <w:b/>
                <w:color w:val="2747BE"/>
                <w:sz w:val="24"/>
                <w:szCs w:val="24"/>
                <w:lang w:val="zh-CN"/>
              </w:rPr>
              <w:t>《五显金光》</w:t>
            </w:r>
            <w:r>
              <w:rPr>
                <w:rFonts w:hint="eastAsia" w:ascii="微软雅黑" w:hAnsi="微软雅黑" w:eastAsia="微软雅黑" w:cs="微软雅黑"/>
                <w:bCs/>
                <w:sz w:val="24"/>
                <w:szCs w:val="24"/>
                <w:lang w:val="zh-CN"/>
              </w:rPr>
              <w:t>，古徽州独特的戏曲大戏等精彩演艺。徽市街上，一步一景，十余处游览文化场馆隐藏其中，厚重的古徽州文化在这里得以传承。入住酒店</w:t>
            </w:r>
            <w:r>
              <w:rPr>
                <w:rFonts w:hint="eastAsia" w:ascii="微软雅黑" w:hAnsi="微软雅黑" w:eastAsia="微软雅黑" w:cs="微软雅黑"/>
                <w:bCs/>
                <w:sz w:val="24"/>
                <w:szCs w:val="24"/>
              </w:rPr>
              <w:t>.</w:t>
            </w:r>
          </w:p>
          <w:p w14:paraId="5E443034">
            <w:pPr>
              <w:pStyle w:val="17"/>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bCs w:val="0"/>
                <w:color w:val="2747BE"/>
                <w:sz w:val="24"/>
                <w:szCs w:val="24"/>
                <w:lang w:val="zh-CN"/>
              </w:rPr>
              <w:t>温馨提示：</w:t>
            </w:r>
            <w:r>
              <w:rPr>
                <w:rFonts w:hint="eastAsia" w:ascii="微软雅黑" w:hAnsi="微软雅黑" w:eastAsia="微软雅黑" w:cs="微软雅黑"/>
                <w:bCs/>
                <w:color w:val="2747BE"/>
                <w:sz w:val="24"/>
                <w:szCs w:val="24"/>
                <w:lang w:val="zh-CN"/>
              </w:rPr>
              <w:t>因三清山山上物资缺乏，物价较高，所以中餐未安排团餐，请自备干粮、零食等。</w:t>
            </w:r>
            <w:r>
              <w:rPr>
                <w:rFonts w:hint="eastAsia" w:ascii="微软雅黑" w:hAnsi="微软雅黑" w:eastAsia="微软雅黑" w:cs="微软雅黑"/>
                <w:bCs/>
                <w:sz w:val="24"/>
                <w:szCs w:val="24"/>
              </w:rPr>
              <w:br w:type="textWrapping"/>
            </w:r>
            <w:r>
              <w:rPr>
                <w:rFonts w:hint="eastAsia" w:ascii="微软雅黑" w:hAnsi="微软雅黑" w:eastAsia="微软雅黑" w:cs="微软雅黑"/>
                <w:b/>
                <w:sz w:val="24"/>
                <w:szCs w:val="24"/>
              </w:rPr>
              <w:t>参考酒店：茶博府公馆  婺源沁庐、风景大酒店、星江湾其他同级酒店</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以实际安排为准</w:t>
            </w:r>
            <w:r>
              <w:rPr>
                <w:rFonts w:hint="eastAsia" w:ascii="微软雅黑" w:hAnsi="微软雅黑" w:eastAsia="微软雅黑" w:cs="微软雅黑"/>
                <w:b w:val="0"/>
                <w:bCs/>
                <w:sz w:val="24"/>
                <w:szCs w:val="24"/>
                <w:lang w:eastAsia="zh-CN"/>
              </w:rPr>
              <w:t>）</w:t>
            </w:r>
          </w:p>
        </w:tc>
      </w:tr>
      <w:tr w14:paraId="31114E3D">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90" w:hRule="atLeast"/>
        </w:trPr>
        <w:tc>
          <w:tcPr>
            <w:tcW w:w="605" w:type="dxa"/>
            <w:vMerge w:val="restart"/>
            <w:tcBorders>
              <w:tl2br w:val="nil"/>
              <w:tr2bl w:val="nil"/>
            </w:tcBorders>
            <w:vAlign w:val="center"/>
          </w:tcPr>
          <w:p w14:paraId="30B190CD">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2"/>
                <w:szCs w:val="22"/>
              </w:rPr>
              <w:t>D4</w:t>
            </w:r>
          </w:p>
        </w:tc>
        <w:tc>
          <w:tcPr>
            <w:tcW w:w="9817" w:type="dxa"/>
            <w:tcBorders>
              <w:tl2br w:val="nil"/>
              <w:tr2bl w:val="nil"/>
            </w:tcBorders>
            <w:shd w:val="clear" w:color="auto" w:fill="EEE4DE" w:themeFill="accent6" w:themeFillTint="32"/>
          </w:tcPr>
          <w:p w14:paraId="270CCC96">
            <w:pPr>
              <w:keepNext w:val="0"/>
              <w:keepLines w:val="0"/>
              <w:pageBreakBefore w:val="0"/>
              <w:kinsoku/>
              <w:wordWrap/>
              <w:overflowPunct/>
              <w:topLinePunct w:val="0"/>
              <w:autoSpaceDE/>
              <w:autoSpaceDN/>
              <w:bidi w:val="0"/>
              <w:snapToGrid w:val="0"/>
              <w:spacing w:line="240" w:lineRule="auto"/>
              <w:textAlignment w:val="auto"/>
              <w:rPr>
                <w:rStyle w:val="11"/>
                <w:rFonts w:hint="eastAsia" w:ascii="微软雅黑" w:hAnsi="微软雅黑" w:eastAsia="微软雅黑" w:cs="微软雅黑"/>
                <w:szCs w:val="21"/>
              </w:rPr>
            </w:pPr>
            <w:r>
              <w:rPr>
                <w:rStyle w:val="11"/>
                <w:rFonts w:hint="eastAsia" w:ascii="微软雅黑" w:hAnsi="微软雅黑" w:eastAsia="微软雅黑" w:cs="微软雅黑"/>
                <w:sz w:val="28"/>
                <w:szCs w:val="28"/>
                <w:lang w:val="zh-CN"/>
              </w:rPr>
              <w:t xml:space="preserve">婺源-景德镇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住：九江          餐：早晚</w:t>
            </w:r>
          </w:p>
        </w:tc>
      </w:tr>
      <w:tr w14:paraId="190A2DF2">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3212" w:hRule="atLeast"/>
        </w:trPr>
        <w:tc>
          <w:tcPr>
            <w:tcW w:w="605" w:type="dxa"/>
            <w:vMerge w:val="continue"/>
            <w:tcBorders>
              <w:tl2br w:val="nil"/>
              <w:tr2bl w:val="nil"/>
            </w:tcBorders>
            <w:vAlign w:val="center"/>
          </w:tcPr>
          <w:p w14:paraId="11AD976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35B94C5D">
            <w:pPr>
              <w:pStyle w:val="17"/>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sz w:val="24"/>
                <w:szCs w:val="24"/>
              </w:rPr>
              <w:t>早餐后</w:t>
            </w:r>
            <w:r>
              <w:rPr>
                <w:rFonts w:hint="eastAsia" w:ascii="微软雅黑" w:hAnsi="微软雅黑" w:eastAsia="微软雅黑" w:cs="微软雅黑"/>
                <w:bCs/>
                <w:sz w:val="24"/>
                <w:szCs w:val="24"/>
              </w:rPr>
              <w:t>游览</w:t>
            </w:r>
            <w:r>
              <w:rPr>
                <w:rFonts w:hint="eastAsia" w:ascii="微软雅黑" w:hAnsi="微软雅黑" w:eastAsia="微软雅黑" w:cs="微软雅黑"/>
                <w:b/>
                <w:color w:val="2747BE"/>
                <w:sz w:val="24"/>
                <w:szCs w:val="24"/>
              </w:rPr>
              <w:t>【篁岭景区】</w:t>
            </w:r>
            <w:r>
              <w:rPr>
                <w:rFonts w:hint="eastAsia" w:ascii="微软雅黑" w:hAnsi="微软雅黑" w:eastAsia="微软雅黑" w:cs="微软雅黑"/>
                <w:bCs/>
                <w:sz w:val="24"/>
                <w:szCs w:val="24"/>
              </w:rPr>
              <w:t>（游览时间约3小时，自理往返缆车130元/人.赠送门票）</w:t>
            </w:r>
            <w:r>
              <w:rPr>
                <w:rFonts w:hint="eastAsia" w:ascii="微软雅黑" w:hAnsi="微软雅黑" w:eastAsia="微软雅黑" w:cs="微软雅黑"/>
                <w:bCs/>
                <w:sz w:val="24"/>
                <w:szCs w:val="24"/>
                <w:lang w:val="zh-CN"/>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14:paraId="20B34927">
            <w:pPr>
              <w:pStyle w:val="17"/>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0000"/>
                <w:sz w:val="24"/>
                <w:szCs w:val="24"/>
              </w:rPr>
            </w:pPr>
            <w:r>
              <w:rPr>
                <w:rFonts w:hint="eastAsia" w:ascii="微软雅黑" w:hAnsi="微软雅黑" w:eastAsia="微软雅黑" w:cs="微软雅黑"/>
                <w:sz w:val="24"/>
                <w:szCs w:val="24"/>
              </w:rPr>
              <w:t>参观</w:t>
            </w:r>
            <w:r>
              <w:rPr>
                <w:rFonts w:hint="eastAsia" w:ascii="微软雅黑" w:hAnsi="微软雅黑" w:eastAsia="微软雅黑" w:cs="微软雅黑"/>
                <w:b/>
                <w:color w:val="2747BE"/>
                <w:sz w:val="24"/>
                <w:szCs w:val="24"/>
                <w:lang w:val="zh-CN"/>
              </w:rPr>
              <w:t>【雕塑瓷厂】，</w:t>
            </w:r>
            <w:r>
              <w:rPr>
                <w:rFonts w:hint="eastAsia" w:ascii="微软雅黑" w:hAnsi="微软雅黑" w:eastAsia="微软雅黑" w:cs="微软雅黑"/>
                <w:sz w:val="24"/>
                <w:szCs w:val="24"/>
                <w:lang w:val="zh-CN"/>
              </w:rPr>
              <w:t>景德镇市雕塑瓷厂是游客必打卡之地，错落有致的厂房，古色古香的徽派建筑，现代风格的陶吧酒吧，高耸入云的窑囱，墙壁上保留着各个时代的标语，相映成趣；厂区内穿着工服的瓷工与打扮时尚前卫的参观者川流不息。这里，历史与现实、工业与艺术和谐地交融在一起，成为景德镇陶瓷文化创意产业的一个新地。</w:t>
            </w:r>
            <w:r>
              <w:rPr>
                <w:rFonts w:hint="eastAsia" w:ascii="微软雅黑" w:hAnsi="微软雅黑" w:eastAsia="微软雅黑" w:cs="微软雅黑"/>
                <w:bCs/>
                <w:color w:val="000000"/>
                <w:sz w:val="24"/>
                <w:szCs w:val="24"/>
              </w:rPr>
              <w:t>乘车赴江西北大门九江，后入住酒店。</w:t>
            </w:r>
            <w:r>
              <w:rPr>
                <w:rFonts w:hint="eastAsia" w:ascii="微软雅黑" w:hAnsi="微软雅黑" w:eastAsia="微软雅黑" w:cs="微软雅黑"/>
                <w:bCs/>
                <w:color w:val="000000"/>
                <w:sz w:val="24"/>
                <w:szCs w:val="24"/>
              </w:rPr>
              <w:br w:type="textWrapping"/>
            </w:r>
            <w:r>
              <w:rPr>
                <w:rFonts w:hint="eastAsia" w:ascii="微软雅黑" w:hAnsi="微软雅黑" w:eastAsia="微软雅黑" w:cs="微软雅黑"/>
                <w:b/>
                <w:color w:val="000000"/>
                <w:sz w:val="24"/>
                <w:szCs w:val="24"/>
              </w:rPr>
              <w:t>参考酒店：天海柏唐酒店.天海柏唐江景酒店.柏唐设计师酒店</w:t>
            </w:r>
            <w:r>
              <w:rPr>
                <w:rFonts w:hint="eastAsia" w:ascii="微软雅黑" w:hAnsi="微软雅黑" w:eastAsia="微软雅黑" w:cs="微软雅黑"/>
                <w:b/>
                <w:color w:val="000000"/>
                <w:sz w:val="24"/>
                <w:szCs w:val="24"/>
                <w:lang w:val="en-US" w:eastAsia="zh-CN"/>
              </w:rPr>
              <w:t>.</w:t>
            </w:r>
            <w:r>
              <w:rPr>
                <w:rFonts w:hint="eastAsia" w:ascii="微软雅黑" w:hAnsi="微软雅黑" w:eastAsia="微软雅黑" w:cs="微软雅黑"/>
                <w:b/>
                <w:color w:val="000000"/>
                <w:sz w:val="24"/>
                <w:szCs w:val="24"/>
              </w:rPr>
              <w:t>丽怡酒店或其他同级酒店。</w:t>
            </w:r>
          </w:p>
        </w:tc>
      </w:tr>
      <w:tr w14:paraId="2DEDF61B">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229" w:hRule="atLeast"/>
        </w:trPr>
        <w:tc>
          <w:tcPr>
            <w:tcW w:w="605" w:type="dxa"/>
            <w:vMerge w:val="restart"/>
            <w:tcBorders>
              <w:tl2br w:val="nil"/>
              <w:tr2bl w:val="nil"/>
            </w:tcBorders>
            <w:vAlign w:val="center"/>
          </w:tcPr>
          <w:p w14:paraId="3691490C">
            <w:pPr>
              <w:keepNext w:val="0"/>
              <w:keepLines w:val="0"/>
              <w:pageBreakBefore w:val="0"/>
              <w:kinsoku/>
              <w:wordWrap/>
              <w:overflowPunct/>
              <w:topLinePunct w:val="0"/>
              <w:autoSpaceDE/>
              <w:autoSpaceDN/>
              <w:bidi w:val="0"/>
              <w:snapToGrid w:val="0"/>
              <w:spacing w:line="240" w:lineRule="auto"/>
              <w:jc w:val="center"/>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2"/>
                <w:szCs w:val="22"/>
              </w:rPr>
              <w:t>D5</w:t>
            </w:r>
          </w:p>
        </w:tc>
        <w:tc>
          <w:tcPr>
            <w:tcW w:w="9817" w:type="dxa"/>
            <w:tcBorders>
              <w:tl2br w:val="nil"/>
              <w:tr2bl w:val="nil"/>
            </w:tcBorders>
            <w:shd w:val="clear" w:color="auto" w:fill="EEE4DE" w:themeFill="accent6" w:themeFillTint="32"/>
          </w:tcPr>
          <w:p w14:paraId="7EAC2AAC">
            <w:pPr>
              <w:keepNext w:val="0"/>
              <w:keepLines w:val="0"/>
              <w:pageBreakBefore w:val="0"/>
              <w:kinsoku/>
              <w:wordWrap/>
              <w:overflowPunct/>
              <w:topLinePunct w:val="0"/>
              <w:autoSpaceDE/>
              <w:autoSpaceDN/>
              <w:bidi w:val="0"/>
              <w:snapToGrid w:val="0"/>
              <w:spacing w:line="240" w:lineRule="auto"/>
              <w:textAlignment w:val="auto"/>
              <w:rPr>
                <w:rStyle w:val="11"/>
                <w:rFonts w:hint="eastAsia" w:ascii="微软雅黑" w:hAnsi="微软雅黑" w:eastAsia="微软雅黑" w:cs="微软雅黑"/>
                <w:sz w:val="22"/>
                <w:szCs w:val="22"/>
              </w:rPr>
            </w:pPr>
            <w:r>
              <w:rPr>
                <w:rStyle w:val="11"/>
                <w:rFonts w:hint="eastAsia" w:ascii="微软雅黑" w:hAnsi="微软雅黑" w:eastAsia="微软雅黑" w:cs="微软雅黑"/>
                <w:sz w:val="28"/>
                <w:szCs w:val="28"/>
                <w:lang w:val="zh-CN"/>
              </w:rPr>
              <w:t xml:space="preserve">九江-三叠泉-南昌                     住： 南昌      </w:t>
            </w:r>
            <w:r>
              <w:rPr>
                <w:rStyle w:val="11"/>
                <w:rFonts w:hint="eastAsia" w:ascii="微软雅黑" w:hAnsi="微软雅黑" w:eastAsia="微软雅黑" w:cs="微软雅黑"/>
                <w:sz w:val="28"/>
                <w:szCs w:val="28"/>
                <w:lang w:val="en-US" w:eastAsia="zh-CN"/>
              </w:rPr>
              <w:t xml:space="preserve">     </w:t>
            </w:r>
            <w:r>
              <w:rPr>
                <w:rStyle w:val="11"/>
                <w:rFonts w:hint="eastAsia" w:ascii="微软雅黑" w:hAnsi="微软雅黑" w:eastAsia="微软雅黑" w:cs="微软雅黑"/>
                <w:sz w:val="28"/>
                <w:szCs w:val="28"/>
                <w:lang w:val="zh-CN"/>
              </w:rPr>
              <w:t xml:space="preserve">   餐：早中</w:t>
            </w:r>
          </w:p>
        </w:tc>
      </w:tr>
      <w:tr w14:paraId="6AA3E313">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918" w:hRule="atLeast"/>
        </w:trPr>
        <w:tc>
          <w:tcPr>
            <w:tcW w:w="605" w:type="dxa"/>
            <w:vMerge w:val="continue"/>
            <w:tcBorders>
              <w:tl2br w:val="nil"/>
              <w:tr2bl w:val="nil"/>
            </w:tcBorders>
            <w:vAlign w:val="center"/>
          </w:tcPr>
          <w:p w14:paraId="1D0739C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0F041DBB">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早餐后车前往佛教净土宗的发源地国家级景区</w:t>
            </w:r>
            <w:r>
              <w:rPr>
                <w:rFonts w:hint="eastAsia" w:ascii="微软雅黑" w:hAnsi="微软雅黑" w:eastAsia="微软雅黑" w:cs="微软雅黑"/>
                <w:b/>
                <w:color w:val="2747BE"/>
                <w:kern w:val="0"/>
                <w:sz w:val="24"/>
                <w:szCs w:val="24"/>
                <w:lang w:val="zh-CN" w:eastAsia="zh-CN" w:bidi="ar-SA"/>
              </w:rPr>
              <w:t>【东林大佛】</w:t>
            </w:r>
            <w:r>
              <w:rPr>
                <w:rFonts w:hint="eastAsia" w:ascii="微软雅黑" w:hAnsi="微软雅黑" w:eastAsia="微软雅黑" w:cs="微软雅黑"/>
                <w:bCs/>
                <w:sz w:val="24"/>
                <w:szCs w:val="24"/>
              </w:rPr>
              <w:t>（周一不开放）</w:t>
            </w:r>
            <w:r>
              <w:rPr>
                <w:rFonts w:hint="eastAsia" w:ascii="微软雅黑" w:hAnsi="微软雅黑" w:eastAsia="微软雅黑" w:cs="微软雅黑"/>
                <w:sz w:val="24"/>
                <w:szCs w:val="24"/>
              </w:rPr>
              <w:t>参拜代表了当代较高水平的宗教艺术精品，世界较高的阿弥陀佛铜像—48米高的东林大佛。</w:t>
            </w:r>
          </w:p>
          <w:p w14:paraId="393F9A0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前往</w:t>
            </w:r>
            <w:r>
              <w:rPr>
                <w:rFonts w:hint="eastAsia" w:ascii="微软雅黑" w:hAnsi="微软雅黑" w:eastAsia="微软雅黑" w:cs="微软雅黑"/>
                <w:b/>
                <w:color w:val="2747BE"/>
                <w:kern w:val="0"/>
                <w:sz w:val="24"/>
                <w:szCs w:val="24"/>
                <w:lang w:val="zh-CN" w:eastAsia="zh-CN" w:bidi="ar-SA"/>
              </w:rPr>
              <w:t>【三叠泉】</w:t>
            </w:r>
            <w:r>
              <w:rPr>
                <w:rFonts w:hint="eastAsia" w:ascii="微软雅黑" w:hAnsi="微软雅黑" w:eastAsia="微软雅黑" w:cs="微软雅黑"/>
                <w:bCs/>
                <w:sz w:val="24"/>
                <w:szCs w:val="24"/>
              </w:rPr>
              <w:t>（</w:t>
            </w:r>
            <w:r>
              <w:rPr>
                <w:rFonts w:hint="eastAsia" w:ascii="微软雅黑" w:hAnsi="微软雅黑" w:eastAsia="微软雅黑" w:cs="微软雅黑"/>
                <w:bCs/>
                <w:color w:val="FF0000"/>
                <w:sz w:val="24"/>
                <w:szCs w:val="24"/>
              </w:rPr>
              <w:t>景交20元/人自理</w:t>
            </w:r>
            <w:r>
              <w:rPr>
                <w:rFonts w:hint="eastAsia" w:ascii="微软雅黑" w:hAnsi="微软雅黑" w:eastAsia="微软雅黑" w:cs="微软雅黑"/>
                <w:bCs/>
                <w:sz w:val="24"/>
                <w:szCs w:val="24"/>
              </w:rPr>
              <w:t>）</w:t>
            </w:r>
            <w:r>
              <w:rPr>
                <w:rFonts w:hint="eastAsia" w:ascii="微软雅黑" w:hAnsi="微软雅黑" w:eastAsia="微软雅黑" w:cs="微软雅黑"/>
                <w:bCs/>
                <w:color w:val="000000"/>
                <w:sz w:val="24"/>
                <w:szCs w:val="24"/>
              </w:rPr>
              <w:t>自古以来三叠泉被誉为“庐山第一奇观”。素有“匡庐瀑布，首推三叠”、“不到三叠泉，不算庐山客”之说。然而这条“上级如飘雪拖练，中级如碎玉摧冰，下级如玉龙走潭”的神奇瀑布，却被长期隐藏在荒山深壑中而不为人知。隐居在它上源屏风叠的李白，讲学在它下游白鹿洞的朱熹都没有发现它。直到南宋绍熙辛亥年（公元1191年）才被一个砍柴人意外地发现。涧水由五老峰北崖口流出，苍崖峭壁豁开如门，分三级跌下，故名“三叠泉”，亦称“三级泉”、“水帘泉”。 三叠泉瀑布落差155米。一叠直垂，水从20多米的簸箕背上一倾而下，象一面水晶帘子，砸在苍崖上，浪花翻滚，烟雾腾腾，白浪飞溢，溅起亿万颗珍珠，远看似雨交加，近看似大雾茫茫。二叠差曲，高约50米，“飘者如雪，断者如雾，缀者如旒，挂者如帘”。三叠最长最阔，洪流倾泻，满满荡荡，巨响訇磕，如玉龙走潭，直泻潭中。</w:t>
            </w:r>
          </w:p>
          <w:p w14:paraId="58059EA4">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 xml:space="preserve">    </w:t>
            </w:r>
            <w:r>
              <w:rPr>
                <w:rFonts w:hint="eastAsia" w:ascii="微软雅黑" w:hAnsi="微软雅黑" w:eastAsia="微软雅黑" w:cs="微软雅黑"/>
                <w:bCs/>
                <w:color w:val="000000"/>
                <w:sz w:val="24"/>
                <w:szCs w:val="24"/>
              </w:rPr>
              <w:t>游览完毕后，乘车返回南昌，入住酒店，自由活动！</w:t>
            </w:r>
          </w:p>
        </w:tc>
      </w:tr>
      <w:tr w14:paraId="5F0A6F11">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280" w:hRule="atLeast"/>
        </w:trPr>
        <w:tc>
          <w:tcPr>
            <w:tcW w:w="605" w:type="dxa"/>
            <w:vMerge w:val="restart"/>
            <w:tcBorders>
              <w:tl2br w:val="nil"/>
              <w:tr2bl w:val="nil"/>
            </w:tcBorders>
            <w:vAlign w:val="center"/>
          </w:tcPr>
          <w:p w14:paraId="2C4B468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D6</w:t>
            </w:r>
          </w:p>
        </w:tc>
        <w:tc>
          <w:tcPr>
            <w:tcW w:w="9817" w:type="dxa"/>
            <w:tcBorders>
              <w:tl2br w:val="nil"/>
              <w:tr2bl w:val="nil"/>
            </w:tcBorders>
            <w:shd w:val="clear" w:color="auto" w:fill="EEE4DE" w:themeFill="accent6" w:themeFillTint="32"/>
          </w:tcPr>
          <w:p w14:paraId="5EDCFE08">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sz w:val="22"/>
                <w:szCs w:val="22"/>
              </w:rPr>
            </w:pPr>
            <w:r>
              <w:rPr>
                <w:rStyle w:val="11"/>
                <w:rFonts w:hint="eastAsia" w:ascii="微软雅黑" w:hAnsi="微软雅黑" w:eastAsia="微软雅黑" w:cs="微软雅黑"/>
                <w:sz w:val="28"/>
                <w:szCs w:val="28"/>
                <w:lang w:val="zh-CN"/>
              </w:rPr>
              <w:t>南昌</w:t>
            </w:r>
            <w:r>
              <w:rPr>
                <w:rStyle w:val="11"/>
                <w:rFonts w:hint="eastAsia" w:ascii="微软雅黑" w:hAnsi="微软雅黑" w:eastAsia="微软雅黑" w:cs="微软雅黑"/>
                <w:sz w:val="28"/>
                <w:szCs w:val="28"/>
              </w:rPr>
              <w:t>-成都</w:t>
            </w:r>
          </w:p>
        </w:tc>
      </w:tr>
      <w:tr w14:paraId="48217DFA">
        <w:tblPrEx>
          <w:tblBorders>
            <w:top w:val="double" w:color="984736" w:themeColor="accent2" w:themeShade="7F" w:sz="4" w:space="0"/>
            <w:left w:val="double" w:color="984736" w:themeColor="accent2" w:themeShade="7F" w:sz="4" w:space="0"/>
            <w:bottom w:val="double" w:color="984736" w:themeColor="accent2" w:themeShade="7F" w:sz="4" w:space="0"/>
            <w:right w:val="double" w:color="984736" w:themeColor="accent2" w:themeShade="7F" w:sz="4" w:space="0"/>
            <w:insideH w:val="dashSmallGap" w:color="984736" w:themeColor="accent2" w:themeShade="7F" w:sz="4" w:space="0"/>
            <w:insideV w:val="dashSmallGap" w:color="984736" w:themeColor="accent2" w:themeShade="7F" w:sz="4" w:space="0"/>
          </w:tblBorders>
          <w:tblCellMar>
            <w:top w:w="0" w:type="dxa"/>
            <w:left w:w="108" w:type="dxa"/>
            <w:bottom w:w="0" w:type="dxa"/>
            <w:right w:w="108" w:type="dxa"/>
          </w:tblCellMar>
        </w:tblPrEx>
        <w:trPr>
          <w:trHeight w:val="401" w:hRule="atLeast"/>
        </w:trPr>
        <w:tc>
          <w:tcPr>
            <w:tcW w:w="605" w:type="dxa"/>
            <w:vMerge w:val="continue"/>
            <w:tcBorders>
              <w:tl2br w:val="nil"/>
              <w:tr2bl w:val="nil"/>
            </w:tcBorders>
            <w:vAlign w:val="center"/>
          </w:tcPr>
          <w:p w14:paraId="2E53CA2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sz w:val="22"/>
                <w:szCs w:val="22"/>
              </w:rPr>
            </w:pPr>
          </w:p>
        </w:tc>
        <w:tc>
          <w:tcPr>
            <w:tcW w:w="9817" w:type="dxa"/>
            <w:tcBorders>
              <w:tl2br w:val="nil"/>
              <w:tr2bl w:val="nil"/>
            </w:tcBorders>
          </w:tcPr>
          <w:p w14:paraId="5F7FE282">
            <w:pPr>
              <w:keepNext w:val="0"/>
              <w:keepLines w:val="0"/>
              <w:pageBreakBefore w:val="0"/>
              <w:widowControl/>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sz w:val="22"/>
                <w:szCs w:val="22"/>
              </w:rPr>
            </w:pPr>
            <w:r>
              <w:rPr>
                <w:rFonts w:hint="eastAsia" w:ascii="微软雅黑" w:hAnsi="微软雅黑" w:eastAsia="微软雅黑" w:cs="微软雅黑"/>
                <w:bCs/>
                <w:sz w:val="24"/>
              </w:rPr>
              <w:t>根据动</w:t>
            </w:r>
            <w:r>
              <w:rPr>
                <w:rFonts w:hint="eastAsia" w:ascii="微软雅黑" w:hAnsi="微软雅黑" w:eastAsia="微软雅黑" w:cs="微软雅黑"/>
                <w:bCs/>
                <w:sz w:val="24"/>
                <w:lang w:val="en-US" w:eastAsia="zh-CN"/>
              </w:rPr>
              <w:t>航班或</w:t>
            </w:r>
            <w:r>
              <w:rPr>
                <w:rFonts w:hint="eastAsia" w:ascii="微软雅黑" w:hAnsi="微软雅黑" w:eastAsia="微软雅黑" w:cs="微软雅黑"/>
                <w:bCs/>
                <w:sz w:val="24"/>
              </w:rPr>
              <w:t>车时间送站，行程结束！</w:t>
            </w:r>
          </w:p>
        </w:tc>
      </w:tr>
    </w:tbl>
    <w:tbl>
      <w:tblPr>
        <w:tblStyle w:val="9"/>
        <w:tblpPr w:leftFromText="180" w:rightFromText="180" w:vertAnchor="text" w:horzAnchor="page" w:tblpX="842" w:tblpY="591"/>
        <w:tblOverlap w:val="never"/>
        <w:tblW w:w="10422" w:type="dxa"/>
        <w:tblInd w:w="0" w:type="dxa"/>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Layout w:type="autofit"/>
        <w:tblCellMar>
          <w:top w:w="0" w:type="dxa"/>
          <w:left w:w="108" w:type="dxa"/>
          <w:bottom w:w="0" w:type="dxa"/>
          <w:right w:w="108" w:type="dxa"/>
        </w:tblCellMar>
      </w:tblPr>
      <w:tblGrid>
        <w:gridCol w:w="10422"/>
      </w:tblGrid>
      <w:tr w14:paraId="44EF0748">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54" w:hRule="atLeast"/>
        </w:trPr>
        <w:tc>
          <w:tcPr>
            <w:tcW w:w="10422" w:type="dxa"/>
            <w:tcBorders>
              <w:tl2br w:val="nil"/>
              <w:tr2bl w:val="nil"/>
            </w:tcBorders>
            <w:shd w:val="clear" w:color="auto" w:fill="E5C6AB" w:themeFill="accent3"/>
          </w:tcPr>
          <w:p w14:paraId="127F9E77">
            <w:pPr>
              <w:pBdr>
                <w:top w:val="single" w:color="17C913" w:sz="4" w:space="0"/>
                <w:left w:val="single" w:color="17C913" w:sz="4" w:space="0"/>
                <w:bottom w:val="single" w:color="17C913" w:sz="4" w:space="0"/>
                <w:right w:val="single" w:color="17C913" w:sz="4" w:space="0"/>
              </w:pBdr>
              <w:ind w:left="0" w:leftChars="0" w:firstLine="0" w:firstLineChars="0"/>
              <w:jc w:val="left"/>
              <w:rPr>
                <w:rFonts w:hint="eastAsia" w:ascii="微软雅黑" w:hAnsi="微软雅黑" w:eastAsia="微软雅黑" w:cs="微软雅黑"/>
                <w:b/>
                <w:bCs/>
                <w:sz w:val="24"/>
                <w:szCs w:val="32"/>
              </w:rPr>
            </w:pPr>
            <w:r>
              <w:rPr>
                <w:rFonts w:hint="eastAsia" w:ascii="微软雅黑" w:hAnsi="微软雅黑" w:eastAsia="微软雅黑" w:cs="微软雅黑"/>
                <w:b/>
                <w:bCs/>
                <w:sz w:val="32"/>
                <w:szCs w:val="32"/>
              </w:rPr>
              <w:t>费用包含</w:t>
            </w:r>
          </w:p>
        </w:tc>
      </w:tr>
      <w:tr w14:paraId="3CA956FD">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54" w:hRule="atLeast"/>
        </w:trPr>
        <w:tc>
          <w:tcPr>
            <w:tcW w:w="10422" w:type="dxa"/>
            <w:tcBorders>
              <w:tl2br w:val="nil"/>
              <w:tr2bl w:val="nil"/>
            </w:tcBorders>
          </w:tcPr>
          <w:p w14:paraId="20F73D02">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sz w:val="24"/>
                <w:szCs w:val="24"/>
              </w:rPr>
              <w:t>1、</w:t>
            </w:r>
            <w:r>
              <w:rPr>
                <w:rFonts w:hint="eastAsia" w:ascii="微软雅黑" w:hAnsi="微软雅黑" w:eastAsia="微软雅黑" w:cs="微软雅黑"/>
                <w:kern w:val="0"/>
                <w:sz w:val="24"/>
                <w:szCs w:val="24"/>
                <w:lang w:val="en-US"/>
              </w:rPr>
              <w:t>成都到南昌往返的</w:t>
            </w:r>
            <w:r>
              <w:rPr>
                <w:rFonts w:hint="eastAsia" w:ascii="微软雅黑" w:hAnsi="微软雅黑" w:eastAsia="微软雅黑" w:cs="微软雅黑"/>
                <w:kern w:val="0"/>
                <w:sz w:val="24"/>
                <w:szCs w:val="24"/>
                <w:lang w:val="en-US" w:eastAsia="zh-CN"/>
              </w:rPr>
              <w:t>机票或者</w:t>
            </w:r>
            <w:r>
              <w:rPr>
                <w:rFonts w:hint="eastAsia" w:ascii="微软雅黑" w:hAnsi="微软雅黑" w:eastAsia="微软雅黑" w:cs="微软雅黑"/>
                <w:kern w:val="0"/>
                <w:sz w:val="24"/>
                <w:szCs w:val="24"/>
                <w:lang w:val="en-US"/>
              </w:rPr>
              <w:t>动车票（往返二等座）</w:t>
            </w:r>
          </w:p>
          <w:p w14:paraId="47EC4620">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2、当地空调旅游车（根据人数安排车型.保证一人一正座）。</w:t>
            </w:r>
          </w:p>
          <w:p w14:paraId="4E4B0FA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b/>
                <w:bCs/>
                <w:sz w:val="24"/>
                <w:szCs w:val="24"/>
              </w:rPr>
              <w:t>用 餐：</w:t>
            </w:r>
            <w:r>
              <w:rPr>
                <w:rFonts w:hint="eastAsia" w:ascii="微软雅黑" w:hAnsi="微软雅黑" w:eastAsia="微软雅黑" w:cs="微软雅黑"/>
                <w:sz w:val="24"/>
                <w:szCs w:val="24"/>
              </w:rPr>
              <w:t>含 5早4正（由于怕影响白天走行程所以有些酒店早餐为打包早）正餐10 人一桌、八菜一汤不含酒水（如不满十人或超出十人，餐厅将视具体情况调整）自由活动期间用餐请自理，如因自身原因临时放弃用餐，则餐费不退。</w:t>
            </w:r>
          </w:p>
          <w:p w14:paraId="30A3F480">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b/>
                <w:bCs/>
                <w:sz w:val="24"/>
                <w:szCs w:val="24"/>
              </w:rPr>
              <w:t>门 票：</w:t>
            </w:r>
            <w:r>
              <w:rPr>
                <w:rFonts w:hint="eastAsia" w:ascii="微软雅黑" w:hAnsi="微软雅黑" w:eastAsia="微软雅黑" w:cs="微软雅黑"/>
                <w:sz w:val="24"/>
                <w:szCs w:val="24"/>
              </w:rPr>
              <w:t>所列景点首道门票（导游有权根据实际情况、在保证不减少行程的情况下、调整行程顺序）.赠送景点，因天气或景区原因取消，无费用可退。</w:t>
            </w:r>
          </w:p>
          <w:p w14:paraId="1CE797E3">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b/>
                <w:bCs/>
                <w:sz w:val="24"/>
                <w:szCs w:val="24"/>
              </w:rPr>
              <w:t>导 游：</w:t>
            </w:r>
            <w:r>
              <w:rPr>
                <w:rFonts w:hint="eastAsia" w:ascii="微软雅黑" w:hAnsi="微软雅黑" w:eastAsia="微软雅黑" w:cs="微软雅黑"/>
                <w:sz w:val="24"/>
                <w:szCs w:val="24"/>
              </w:rPr>
              <w:t>行程中所列参观游览过程中，地方专职中文导游服务（部门景区安排当地景区讲解员）。</w:t>
            </w:r>
          </w:p>
          <w:p w14:paraId="7BBA9A9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r>
              <w:rPr>
                <w:rFonts w:hint="eastAsia" w:ascii="微软雅黑" w:hAnsi="微软雅黑" w:eastAsia="微软雅黑" w:cs="微软雅黑"/>
                <w:b/>
                <w:bCs/>
                <w:sz w:val="24"/>
                <w:szCs w:val="24"/>
              </w:rPr>
              <w:t>酒 店：</w:t>
            </w:r>
            <w:r>
              <w:rPr>
                <w:rFonts w:hint="eastAsia" w:ascii="微软雅黑" w:hAnsi="微软雅黑" w:eastAsia="微软雅黑" w:cs="微软雅黑"/>
                <w:sz w:val="24"/>
                <w:szCs w:val="24"/>
              </w:rPr>
              <w:t>全程4晚网评四钻酒店酒店+1晚三清山四钻酒店或望仙谷外民宿（江西提倡节能环保、请自备洗漱用品）。</w:t>
            </w:r>
          </w:p>
          <w:p w14:paraId="40C92C08">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7、</w:t>
            </w:r>
            <w:r>
              <w:rPr>
                <w:rFonts w:hint="eastAsia" w:ascii="微软雅黑" w:hAnsi="微软雅黑" w:eastAsia="微软雅黑" w:cs="微软雅黑"/>
                <w:b/>
                <w:bCs/>
                <w:sz w:val="24"/>
                <w:szCs w:val="24"/>
              </w:rPr>
              <w:t>保 险：</w:t>
            </w:r>
            <w:r>
              <w:rPr>
                <w:rFonts w:hint="eastAsia" w:ascii="微软雅黑" w:hAnsi="微软雅黑" w:eastAsia="微软雅黑" w:cs="微软雅黑"/>
                <w:sz w:val="24"/>
                <w:szCs w:val="24"/>
              </w:rPr>
              <w:t>旅行社责任险</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auto"/>
                <w:kern w:val="0"/>
                <w:sz w:val="24"/>
                <w:szCs w:val="24"/>
                <w:lang w:val="en-US" w:eastAsia="zh-CN" w:bidi="zh-CN"/>
              </w:rPr>
              <w:t>旅游意外险（旅意险最高赔付为10万元，如需增加保额，请提前告知）</w:t>
            </w:r>
          </w:p>
          <w:p w14:paraId="00AB09F3">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w:t>
            </w:r>
            <w:r>
              <w:rPr>
                <w:rFonts w:hint="eastAsia" w:ascii="微软雅黑" w:hAnsi="微软雅黑" w:eastAsia="微软雅黑" w:cs="微软雅黑"/>
                <w:b/>
                <w:bCs/>
                <w:sz w:val="24"/>
                <w:szCs w:val="24"/>
              </w:rPr>
              <w:t>小 孩：</w:t>
            </w:r>
            <w:r>
              <w:rPr>
                <w:rFonts w:hint="eastAsia" w:ascii="微软雅黑" w:hAnsi="微软雅黑" w:eastAsia="微软雅黑" w:cs="微软雅黑"/>
                <w:sz w:val="24"/>
                <w:szCs w:val="24"/>
              </w:rPr>
              <w:t>1.2m 以下儿童含车位正座、正餐导服费旅行社责任险及不含床位门票（产生费用由客人自理）</w:t>
            </w:r>
          </w:p>
        </w:tc>
      </w:tr>
      <w:tr w14:paraId="568BAE0A">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54" w:hRule="atLeast"/>
        </w:trPr>
        <w:tc>
          <w:tcPr>
            <w:tcW w:w="10422" w:type="dxa"/>
            <w:tcBorders>
              <w:tl2br w:val="nil"/>
              <w:tr2bl w:val="nil"/>
            </w:tcBorders>
            <w:shd w:val="clear" w:color="auto" w:fill="E5C6AB" w:themeFill="accent3"/>
          </w:tcPr>
          <w:p w14:paraId="477B0C17">
            <w:pPr>
              <w:ind w:left="0" w:leftChars="0" w:firstLine="0" w:firstLineChars="0"/>
              <w:rPr>
                <w:rFonts w:hint="eastAsia" w:ascii="微软雅黑" w:hAnsi="微软雅黑" w:eastAsia="微软雅黑" w:cs="微软雅黑"/>
                <w:b/>
                <w:bCs/>
                <w:sz w:val="24"/>
                <w:szCs w:val="32"/>
              </w:rPr>
            </w:pPr>
            <w:r>
              <w:rPr>
                <w:rFonts w:hint="eastAsia" w:ascii="微软雅黑" w:hAnsi="微软雅黑" w:eastAsia="微软雅黑" w:cs="微软雅黑"/>
                <w:b/>
                <w:bCs/>
                <w:sz w:val="32"/>
                <w:szCs w:val="32"/>
              </w:rPr>
              <w:t>费用不含</w:t>
            </w:r>
          </w:p>
        </w:tc>
      </w:tr>
      <w:tr w14:paraId="70115C21">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54" w:hRule="atLeast"/>
        </w:trPr>
        <w:tc>
          <w:tcPr>
            <w:tcW w:w="10422" w:type="dxa"/>
            <w:tcBorders>
              <w:tl2br w:val="nil"/>
              <w:tr2bl w:val="nil"/>
            </w:tcBorders>
          </w:tcPr>
          <w:p w14:paraId="47A08DC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1、产生的单房差及加床费用；</w:t>
            </w:r>
          </w:p>
          <w:p w14:paraId="756AC99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2、航空保险（建议旅游者购买）；</w:t>
            </w:r>
          </w:p>
          <w:p w14:paraId="1CC5046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3、因交通延误、天气、自然灾害等不可抗力原因导致的额外费用、需客人自理；</w:t>
            </w:r>
          </w:p>
          <w:p w14:paraId="4D465C7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4、因自身违约、自身过错、自身疾病等自身原因导致的人身财产损失而额外支付的费用；</w:t>
            </w:r>
          </w:p>
          <w:p w14:paraId="1F5585B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5、不占床位游客不含早餐。</w:t>
            </w:r>
          </w:p>
          <w:p w14:paraId="2EF874F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6、赠送的景点不去不给予退任何费用、此产品以为优惠产品、任何证件或老人、小孩在无任何减免政策。</w:t>
            </w:r>
          </w:p>
          <w:p w14:paraId="0CABB7EB">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7、为了保障游客利益，使游览更加顺畅不减少景点前提情况下，导游有权提前告知游客情况下、游览顺序可前后调整、报名时请熟知、如有意义报名前请提前告知、否则视为默认。</w:t>
            </w:r>
          </w:p>
          <w:p w14:paraId="32BB6ED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8、</w:t>
            </w:r>
            <w:r>
              <w:rPr>
                <w:rFonts w:hint="eastAsia" w:ascii="微软雅黑" w:hAnsi="微软雅黑" w:eastAsia="微软雅黑" w:cs="微软雅黑"/>
                <w:b/>
                <w:bCs/>
                <w:sz w:val="24"/>
                <w:szCs w:val="24"/>
              </w:rPr>
              <w:t>门票项目及相关：</w:t>
            </w:r>
          </w:p>
          <w:p w14:paraId="5B97F7FC">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bookmarkStart w:id="0" w:name="_GoBack"/>
            <w:r>
              <w:rPr>
                <w:rFonts w:hint="eastAsia" w:ascii="微软雅黑" w:hAnsi="微软雅黑" w:eastAsia="微软雅黑" w:cs="微软雅黑"/>
                <w:color w:val="FF0000"/>
                <w:sz w:val="24"/>
                <w:szCs w:val="24"/>
              </w:rPr>
              <w:t>不含景交</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color w:val="FF0000"/>
                <w:sz w:val="24"/>
                <w:szCs w:val="24"/>
                <w:lang w:val="en-US" w:eastAsia="zh-CN"/>
              </w:rPr>
              <w:t>景区规定，进入景区就需要乘坐</w:t>
            </w:r>
            <w:r>
              <w:rPr>
                <w:rFonts w:hint="eastAsia" w:ascii="微软雅黑" w:hAnsi="微软雅黑" w:eastAsia="微软雅黑" w:cs="微软雅黑"/>
                <w:color w:val="FF0000"/>
                <w:sz w:val="24"/>
                <w:szCs w:val="24"/>
                <w:lang w:eastAsia="zh-CN"/>
              </w:rPr>
              <w:t>）</w:t>
            </w:r>
            <w:bookmarkEnd w:id="0"/>
            <w:r>
              <w:rPr>
                <w:rFonts w:hint="eastAsia" w:ascii="微软雅黑" w:hAnsi="微软雅黑" w:eastAsia="微软雅黑" w:cs="微软雅黑"/>
                <w:color w:val="FF0000"/>
                <w:sz w:val="24"/>
                <w:szCs w:val="24"/>
              </w:rPr>
              <w:t>：鄱阳湖湿地公园游船100元/人、三清山景交125元/人、三叠泉景交20元/人、篁岭索道130元/人</w:t>
            </w:r>
          </w:p>
        </w:tc>
      </w:tr>
      <w:tr w14:paraId="0C51B824">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497" w:hRule="atLeast"/>
        </w:trPr>
        <w:tc>
          <w:tcPr>
            <w:tcW w:w="10422" w:type="dxa"/>
            <w:tcBorders>
              <w:bottom w:val="single" w:color="auto" w:sz="4" w:space="0"/>
              <w:tl2br w:val="nil"/>
              <w:tr2bl w:val="nil"/>
            </w:tcBorders>
            <w:shd w:val="clear" w:color="auto" w:fill="E5C6AB" w:themeFill="accent3"/>
          </w:tcPr>
          <w:p w14:paraId="6508592B">
            <w:pPr>
              <w:ind w:left="0" w:leftChars="0" w:firstLine="0" w:firstLineChars="0"/>
              <w:jc w:val="left"/>
              <w:rPr>
                <w:rFonts w:hint="eastAsia" w:ascii="微软雅黑" w:hAnsi="微软雅黑" w:eastAsia="微软雅黑" w:cs="微软雅黑"/>
                <w:b/>
                <w:color w:val="000000"/>
                <w:sz w:val="24"/>
                <w:szCs w:val="28"/>
              </w:rPr>
            </w:pPr>
            <w:r>
              <w:rPr>
                <w:rFonts w:hint="eastAsia" w:ascii="微软雅黑" w:hAnsi="微软雅黑" w:eastAsia="微软雅黑" w:cs="微软雅黑"/>
                <w:b/>
                <w:bCs/>
                <w:sz w:val="32"/>
                <w:szCs w:val="32"/>
              </w:rPr>
              <w:t>自费套餐</w:t>
            </w:r>
          </w:p>
        </w:tc>
      </w:tr>
      <w:tr w14:paraId="34968DFB">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390" w:hRule="atLeast"/>
        </w:trPr>
        <w:tc>
          <w:tcPr>
            <w:tcW w:w="10422" w:type="dxa"/>
            <w:tcBorders>
              <w:top w:val="single" w:color="auto" w:sz="4" w:space="0"/>
              <w:bottom w:val="single" w:color="auto" w:sz="4" w:space="0"/>
              <w:tl2br w:val="nil"/>
              <w:tr2bl w:val="nil"/>
            </w:tcBorders>
            <w:shd w:val="clear" w:color="auto" w:fill="FFFFFF" w:themeFill="background1"/>
          </w:tcPr>
          <w:p w14:paraId="3611F7AC">
            <w:pPr>
              <w:keepNext w:val="0"/>
              <w:keepLines w:val="0"/>
              <w:pageBreakBefore w:val="0"/>
              <w:widowControl w:val="0"/>
              <w:shd w:val="clear" w:color="auto" w:fill="FFFFFF" w:themeFill="background1"/>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napToGrid w:val="0"/>
                <w:kern w:val="0"/>
                <w:sz w:val="24"/>
                <w:szCs w:val="24"/>
                <w:shd w:val="clear" w:color="auto" w:fill="B2D7D2" w:themeFill="background2"/>
              </w:rPr>
            </w:pPr>
            <w:r>
              <w:rPr>
                <w:rFonts w:hint="eastAsia" w:ascii="微软雅黑" w:hAnsi="微软雅黑" w:eastAsia="微软雅黑" w:cs="微软雅黑"/>
                <w:b/>
                <w:bCs/>
                <w:snapToGrid w:val="0"/>
                <w:kern w:val="0"/>
                <w:sz w:val="24"/>
                <w:szCs w:val="24"/>
                <w:shd w:val="clear" w:color="auto" w:fill="B2D7D2" w:themeFill="background2"/>
                <w:lang w:val="zh-CN"/>
              </w:rPr>
              <w:t>婺女洲门票+《遇见▪婺源》山水实景演出+《遇见▪光影》灯光秀+婺源竹筏漂流+景德镇青花瓷宴</w:t>
            </w:r>
            <w:r>
              <w:rPr>
                <w:rFonts w:hint="eastAsia" w:ascii="微软雅黑" w:hAnsi="微软雅黑" w:eastAsia="微软雅黑" w:cs="微软雅黑"/>
                <w:sz w:val="24"/>
                <w:szCs w:val="24"/>
                <w:shd w:val="clear" w:color="auto" w:fill="B2D7D2" w:themeFill="background2"/>
                <w:lang w:val="zh-CN"/>
              </w:rPr>
              <w:t>+车费+司机导游服务费</w:t>
            </w:r>
            <w:r>
              <w:rPr>
                <w:rFonts w:hint="eastAsia" w:ascii="微软雅黑" w:hAnsi="微软雅黑" w:eastAsia="微软雅黑" w:cs="微软雅黑"/>
                <w:b/>
                <w:bCs/>
                <w:snapToGrid w:val="0"/>
                <w:kern w:val="0"/>
                <w:sz w:val="24"/>
                <w:szCs w:val="24"/>
                <w:shd w:val="clear" w:color="auto" w:fill="B2D7D2" w:themeFill="background2"/>
                <w:lang w:val="zh-CN"/>
              </w:rPr>
              <w:t>=</w:t>
            </w:r>
            <w:r>
              <w:rPr>
                <w:rFonts w:hint="eastAsia" w:ascii="微软雅黑" w:hAnsi="微软雅黑" w:eastAsia="微软雅黑" w:cs="微软雅黑"/>
                <w:b/>
                <w:bCs/>
                <w:snapToGrid w:val="0"/>
                <w:kern w:val="0"/>
                <w:sz w:val="24"/>
                <w:szCs w:val="24"/>
                <w:shd w:val="clear" w:color="auto" w:fill="B2D7D2" w:themeFill="background2"/>
              </w:rPr>
              <w:t>32</w:t>
            </w:r>
            <w:r>
              <w:rPr>
                <w:rFonts w:hint="eastAsia" w:ascii="微软雅黑" w:hAnsi="微软雅黑" w:eastAsia="微软雅黑" w:cs="微软雅黑"/>
                <w:b/>
                <w:bCs/>
                <w:snapToGrid w:val="0"/>
                <w:kern w:val="0"/>
                <w:sz w:val="24"/>
                <w:szCs w:val="24"/>
                <w:shd w:val="clear" w:color="auto" w:fill="B2D7D2" w:themeFill="background2"/>
                <w:lang w:val="zh-CN"/>
              </w:rPr>
              <w:t>8元/人</w:t>
            </w:r>
            <w:r>
              <w:rPr>
                <w:rFonts w:hint="eastAsia" w:ascii="微软雅黑" w:hAnsi="微软雅黑" w:eastAsia="微软雅黑" w:cs="微软雅黑"/>
                <w:b/>
                <w:bCs/>
                <w:snapToGrid w:val="0"/>
                <w:kern w:val="0"/>
                <w:sz w:val="24"/>
                <w:szCs w:val="24"/>
                <w:shd w:val="clear" w:color="auto" w:fill="B2D7D2" w:themeFill="background2"/>
              </w:rPr>
              <w:t>.</w:t>
            </w:r>
          </w:p>
          <w:p w14:paraId="6A575CF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bCs/>
                <w:snapToGrid w:val="0"/>
                <w:color w:val="000000"/>
                <w:kern w:val="0"/>
                <w:sz w:val="21"/>
                <w:szCs w:val="21"/>
                <w:lang w:val="zh-CN"/>
              </w:rPr>
              <w:t>套餐备注：小孩：1.1米以下收100/人，因此套餐为特价优惠打包价，任何证件不享受优惠，敬请谅解；</w:t>
            </w:r>
          </w:p>
        </w:tc>
      </w:tr>
      <w:tr w14:paraId="1B32C0AF">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97" w:hRule="atLeast"/>
        </w:trPr>
        <w:tc>
          <w:tcPr>
            <w:tcW w:w="10422" w:type="dxa"/>
            <w:tcBorders>
              <w:top w:val="single" w:color="auto" w:sz="4" w:space="0"/>
              <w:tl2br w:val="nil"/>
              <w:tr2bl w:val="nil"/>
            </w:tcBorders>
            <w:shd w:val="clear" w:color="auto" w:fill="E5C6AB" w:themeFill="accent3"/>
          </w:tcPr>
          <w:p w14:paraId="0ED1A1A4">
            <w:pPr>
              <w:ind w:left="0" w:leftChars="0" w:firstLine="0" w:firstLineChars="0"/>
              <w:jc w:val="left"/>
              <w:rPr>
                <w:rFonts w:hint="eastAsia" w:ascii="微软雅黑" w:hAnsi="微软雅黑" w:eastAsia="微软雅黑" w:cs="微软雅黑"/>
                <w:b/>
                <w:sz w:val="24"/>
                <w:szCs w:val="28"/>
              </w:rPr>
            </w:pPr>
            <w:r>
              <w:rPr>
                <w:rFonts w:hint="eastAsia" w:ascii="微软雅黑" w:hAnsi="微软雅黑" w:eastAsia="微软雅黑" w:cs="微软雅黑"/>
                <w:b/>
                <w:sz w:val="32"/>
                <w:szCs w:val="32"/>
              </w:rPr>
              <w:t>特别说明</w:t>
            </w:r>
          </w:p>
        </w:tc>
      </w:tr>
      <w:tr w14:paraId="323FBAFB">
        <w:tblPrEx>
          <w:tblBorders>
            <w:top w:val="single" w:color="7F5B41" w:themeColor="accent6" w:themeShade="BF" w:sz="4" w:space="0"/>
            <w:left w:val="single" w:color="7F5B41" w:themeColor="accent6" w:themeShade="BF" w:sz="4" w:space="0"/>
            <w:bottom w:val="single" w:color="7F5B41" w:themeColor="accent6" w:themeShade="BF" w:sz="4" w:space="0"/>
            <w:right w:val="single" w:color="7F5B41" w:themeColor="accent6" w:themeShade="BF" w:sz="4" w:space="0"/>
            <w:insideH w:val="single" w:color="7F5B41" w:themeColor="accent6" w:themeShade="BF" w:sz="4" w:space="0"/>
            <w:insideV w:val="single" w:color="7F5B41" w:themeColor="accent6" w:themeShade="BF" w:sz="4" w:space="0"/>
          </w:tblBorders>
          <w:tblCellMar>
            <w:top w:w="0" w:type="dxa"/>
            <w:left w:w="108" w:type="dxa"/>
            <w:bottom w:w="0" w:type="dxa"/>
            <w:right w:w="108" w:type="dxa"/>
          </w:tblCellMar>
        </w:tblPrEx>
        <w:trPr>
          <w:trHeight w:val="254" w:hRule="atLeast"/>
        </w:trPr>
        <w:tc>
          <w:tcPr>
            <w:tcW w:w="10422" w:type="dxa"/>
            <w:tcBorders>
              <w:tl2br w:val="nil"/>
              <w:tr2bl w:val="nil"/>
            </w:tcBorders>
          </w:tcPr>
          <w:p w14:paraId="0516C495">
            <w:pPr>
              <w:pStyle w:val="18"/>
              <w:spacing w:line="354" w:lineRule="exact"/>
              <w:rPr>
                <w:rFonts w:hint="eastAsia" w:ascii="微软雅黑" w:hAnsi="微软雅黑" w:eastAsia="微软雅黑" w:cs="微软雅黑"/>
                <w:sz w:val="18"/>
                <w:szCs w:val="18"/>
              </w:rPr>
            </w:pPr>
            <w:r>
              <w:rPr>
                <w:rFonts w:hint="eastAsia" w:ascii="微软雅黑" w:hAnsi="微软雅黑" w:eastAsia="微软雅黑" w:cs="微软雅黑"/>
                <w:sz w:val="18"/>
                <w:szCs w:val="18"/>
              </w:rPr>
              <w:t>1、以上行程可根据游客实际抵离时间以及当地天气及交通等情况对您的行程做出相应合理的调整；</w:t>
            </w:r>
          </w:p>
          <w:p w14:paraId="558034C9">
            <w:pPr>
              <w:pStyle w:val="18"/>
              <w:spacing w:before="14" w:line="201" w:lineRule="auto"/>
              <w:ind w:right="82"/>
              <w:rPr>
                <w:rFonts w:hint="eastAsia" w:ascii="微软雅黑" w:hAnsi="微软雅黑" w:eastAsia="微软雅黑" w:cs="微软雅黑"/>
                <w:sz w:val="18"/>
                <w:szCs w:val="18"/>
              </w:rPr>
            </w:pPr>
            <w:r>
              <w:rPr>
                <w:rFonts w:hint="eastAsia" w:ascii="微软雅黑" w:hAnsi="微软雅黑" w:eastAsia="微软雅黑" w:cs="微软雅黑"/>
                <w:sz w:val="18"/>
                <w:szCs w:val="18"/>
              </w:rPr>
              <w:t>2、此线路不安排拼房，如您是单人出游，请务必出游前预付房差。如您是 2 人以上的奇数出游，则安排加床，请在出游前预付加床差价（参照三星标准装修的酒店仅部分酒店设置三人间，如出发前未事先通知、安排则按加床处理。）</w:t>
            </w:r>
          </w:p>
          <w:p w14:paraId="3275E6C0">
            <w:pPr>
              <w:pStyle w:val="18"/>
              <w:spacing w:line="201" w:lineRule="auto"/>
              <w:ind w:right="80"/>
              <w:rPr>
                <w:rFonts w:hint="eastAsia" w:ascii="微软雅黑" w:hAnsi="微软雅黑" w:eastAsia="微软雅黑" w:cs="微软雅黑"/>
                <w:sz w:val="18"/>
                <w:szCs w:val="18"/>
              </w:rPr>
            </w:pPr>
            <w:r>
              <w:rPr>
                <w:rFonts w:hint="eastAsia" w:ascii="微软雅黑" w:hAnsi="微软雅黑" w:eastAsia="微软雅黑" w:cs="微软雅黑"/>
                <w:sz w:val="18"/>
                <w:szCs w:val="18"/>
              </w:rPr>
              <w:t>3、我社接待质量以意见单为准，请游客认真填写意见单。投诉请在当地提出，本社会积极处理。团队返程后，本社不受理与意见单不符的投诉意见。</w:t>
            </w:r>
          </w:p>
          <w:p w14:paraId="70222485">
            <w:pPr>
              <w:pStyle w:val="18"/>
              <w:spacing w:line="201" w:lineRule="auto"/>
              <w:ind w:left="210" w:right="85" w:hanging="180" w:hangingChars="100"/>
              <w:rPr>
                <w:rFonts w:hint="eastAsia" w:ascii="微软雅黑" w:hAnsi="微软雅黑" w:eastAsia="微软雅黑" w:cs="微软雅黑"/>
                <w:sz w:val="18"/>
                <w:szCs w:val="18"/>
              </w:rPr>
            </w:pPr>
            <w:r>
              <w:rPr>
                <w:rFonts w:hint="eastAsia" w:ascii="微软雅黑" w:hAnsi="微软雅黑" w:eastAsia="微软雅黑" w:cs="微软雅黑"/>
                <w:sz w:val="18"/>
                <w:szCs w:val="18"/>
              </w:rPr>
              <w:t>4、参团期间不允许客人离团，如客人私自离团，则视为客人自愿提前终止合同，并自愿放弃合同中未发生的接待事项和费用，我社概不受理因此而产生的一切后续争议；若客人中途离团请补违约款</w:t>
            </w:r>
            <w:r>
              <w:rPr>
                <w:rFonts w:hint="eastAsia" w:ascii="微软雅黑" w:hAnsi="微软雅黑" w:eastAsia="微软雅黑" w:cs="微软雅黑"/>
                <w:sz w:val="18"/>
                <w:szCs w:val="18"/>
                <w:lang w:val="en-US"/>
              </w:rPr>
              <w:t>1000</w:t>
            </w:r>
            <w:r>
              <w:rPr>
                <w:rFonts w:hint="eastAsia" w:ascii="微软雅黑" w:hAnsi="微软雅黑" w:eastAsia="微软雅黑" w:cs="微软雅黑"/>
                <w:sz w:val="18"/>
                <w:szCs w:val="18"/>
              </w:rPr>
              <w:t xml:space="preserve"> 元， 离团产生一切后果自行负责。</w:t>
            </w:r>
          </w:p>
          <w:p w14:paraId="68DFFB2C">
            <w:pPr>
              <w:pStyle w:val="18"/>
              <w:spacing w:line="201" w:lineRule="auto"/>
              <w:ind w:left="210" w:right="85" w:hanging="180" w:hangingChars="100"/>
              <w:rPr>
                <w:rFonts w:hint="eastAsia" w:ascii="微软雅黑" w:hAnsi="微软雅黑" w:eastAsia="微软雅黑" w:cs="微软雅黑"/>
                <w:sz w:val="18"/>
                <w:szCs w:val="18"/>
                <w:lang w:val="en-US"/>
              </w:rPr>
            </w:pPr>
            <w:r>
              <w:rPr>
                <w:rFonts w:hint="eastAsia" w:ascii="微软雅黑" w:hAnsi="微软雅黑" w:eastAsia="微软雅黑" w:cs="微软雅黑"/>
                <w:sz w:val="18"/>
                <w:szCs w:val="18"/>
                <w:lang w:val="en-US"/>
              </w:rPr>
              <w:t>5、行程中部分商品店属于景区组合部分、望请周知，如有异议报名时请提出。</w:t>
            </w:r>
          </w:p>
          <w:p w14:paraId="73B3C6BC">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（附件一）旅游补充协议</w:t>
            </w:r>
          </w:p>
          <w:p w14:paraId="52DC0EE2">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此协议与《团队包价旅游合同（示范文本）》《旅行社报名表及补充约定》为不可分割的一部分        </w:t>
            </w:r>
          </w:p>
          <w:p w14:paraId="5F33E637">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华人民共和国旅游法》第35条规定：经双方协商一致或者旅游者要求，且不影响其他旅游者行程安排的情况下，经旅行社（甲方）与旅游者（乙方）双方协商一致，乙方愿意前往由甲方安排的在销售行程中注明的旅游行程以外的景点，则协议安排旅游行程以外景点参观。具体约定如下：</w:t>
            </w:r>
          </w:p>
          <w:p w14:paraId="6513BE52">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说明：为体现江西地方特色，在此线路设计上有以下景点作为旅游的参观点，在团队旅游行程中，</w:t>
            </w:r>
          </w:p>
          <w:p w14:paraId="417930AC">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加入参观以下江西行程以外的活动项目.经双方协商一致，达成本补充协议，作为包价旅游合同的组成部分。特此说明。</w:t>
            </w:r>
          </w:p>
          <w:p w14:paraId="614D0B00">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（附件二）健康证明·免责书</w:t>
            </w:r>
          </w:p>
          <w:p w14:paraId="63ABFB01">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旅行社为了确保本次旅游顺利出行，防止旅途中发生人身意外伤害事故，建议旅游者在出行前做一次</w:t>
            </w:r>
          </w:p>
          <w:p w14:paraId="57C946CE">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必要的身体检查，因服务能力所限无法接待下列人群参团：</w:t>
            </w:r>
          </w:p>
          <w:p w14:paraId="5FAE26D3">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（1）传染性疾病患者，如传染性肝炎、活动期肺结核、伤寒等传染病人； </w:t>
            </w:r>
          </w:p>
          <w:p w14:paraId="37144C43">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（2）心血管疾病患者，如严重高血压、心功能不全、心肌缺氧、心肌梗塞等病人； </w:t>
            </w:r>
          </w:p>
          <w:p w14:paraId="20BE777D">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（3）脑血管疾病患者，如脑栓塞、脑出血、脑肿瘤等病人； </w:t>
            </w:r>
          </w:p>
          <w:p w14:paraId="45FAC562">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（4）呼吸系统疾病患者，如肺气肿、肺心病等病人； </w:t>
            </w:r>
          </w:p>
          <w:p w14:paraId="40732BAD">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（5）精神病患者，如癫痫及各种精神病人； </w:t>
            </w:r>
          </w:p>
          <w:p w14:paraId="1D5F54FB">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（6）严重贫血病患者，如血红蛋白量水平在50克/升以下的病人； </w:t>
            </w:r>
          </w:p>
          <w:p w14:paraId="6D4BDF72">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（7）大中型手术的恢复期病患者； </w:t>
            </w:r>
          </w:p>
          <w:p w14:paraId="12C81672">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（8）孕妇、行动不便者及80周岁以上老年人。</w:t>
            </w:r>
          </w:p>
          <w:p w14:paraId="2111DAF9">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本人     （身份证号码：                      联系电话            ）， 已完全了解了贵社</w:t>
            </w:r>
          </w:p>
          <w:p w14:paraId="450A47D7">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接待人员告知的注意事项，自愿要求参加贵社组织的    年  月  日至   年  月 日止。并且承诺不属于上述八项人群范围之内。</w:t>
            </w:r>
          </w:p>
          <w:p w14:paraId="3672E497">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本人并根据旅行社对高龄人群的接待相关要求，承诺如下：</w:t>
            </w:r>
          </w:p>
          <w:p w14:paraId="70B83464">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本人以及直系亲属了解自己的身体情况，适合参加此旅游团，本人能够完成旅游团全部行程并近期</w:t>
            </w:r>
          </w:p>
          <w:p w14:paraId="65BEE1BA">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返回。如本人未按贵社要求如实告知相关健康情况，本人承担因此而产生的全部责任及发生的全部费用，并承担给贵社造成损失的赔偿责任。</w:t>
            </w:r>
          </w:p>
          <w:p w14:paraId="66E69115">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在旅游过程中，本人有放弃禁止高龄人群参加的相应景点或相应活动权利：若因本人坚持参加所产</w:t>
            </w:r>
          </w:p>
          <w:p w14:paraId="3658BDC7">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生的全部后果均由本人承担。在旅游过程中，如果本人由于身体不适或其他原因导致不能继续完成行程，需要贵社协助提前返回、就医等情况发生，本人承担全部责任及发生的全部费用。</w:t>
            </w:r>
          </w:p>
          <w:p w14:paraId="05754B65">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四、本人已就此承诺告知了直系亲属并得到他们的同意，本人同意贵社任何单一或全部核实义务。</w:t>
            </w:r>
          </w:p>
          <w:p w14:paraId="52A47177">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五、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r>
              <w:rPr>
                <w:rFonts w:hint="eastAsia" w:ascii="微软雅黑" w:hAnsi="微软雅黑" w:eastAsia="微软雅黑" w:cs="微软雅黑"/>
                <w:sz w:val="18"/>
                <w:szCs w:val="18"/>
                <w:lang w:val="en-US" w:eastAsia="zh-CN"/>
              </w:rPr>
              <w:t xml:space="preserve">      </w:t>
            </w:r>
          </w:p>
          <w:p w14:paraId="5F7D142F">
            <w:pPr>
              <w:rPr>
                <w:rFonts w:hint="eastAsia" w:ascii="微软雅黑" w:hAnsi="微软雅黑" w:eastAsia="微软雅黑" w:cs="微软雅黑"/>
                <w:sz w:val="18"/>
                <w:szCs w:val="18"/>
                <w:lang w:val="en-US" w:eastAsia="zh-CN"/>
              </w:rPr>
            </w:pPr>
          </w:p>
          <w:p w14:paraId="6D6AB8C8">
            <w:pPr>
              <w:jc w:val="right"/>
              <w:rPr>
                <w:rFonts w:hint="eastAsia" w:ascii="微软雅黑" w:hAnsi="微软雅黑" w:eastAsia="微软雅黑" w:cs="微软雅黑"/>
                <w:b/>
                <w:color w:val="FF0000"/>
                <w:sz w:val="18"/>
                <w:szCs w:val="18"/>
              </w:rPr>
            </w:pPr>
            <w:r>
              <w:rPr>
                <w:rFonts w:hint="eastAsia" w:ascii="微软雅黑" w:hAnsi="微软雅黑" w:eastAsia="微软雅黑" w:cs="微软雅黑"/>
                <w:b/>
                <w:bCs/>
                <w:sz w:val="24"/>
                <w:szCs w:val="24"/>
              </w:rPr>
              <w:t>特此承诺！</w:t>
            </w:r>
          </w:p>
        </w:tc>
      </w:tr>
    </w:tbl>
    <w:p w14:paraId="51F4FF6E">
      <w:pPr>
        <w:pStyle w:val="3"/>
        <w:ind w:firstLine="0" w:firstLineChars="0"/>
        <w:rPr>
          <w:rFonts w:hint="eastAsia" w:ascii="微软雅黑" w:hAnsi="微软雅黑" w:eastAsia="微软雅黑" w:cs="微软雅黑"/>
          <w:color w:val="000000"/>
          <w:szCs w:val="21"/>
        </w:rPr>
      </w:pPr>
    </w:p>
    <w:sectPr>
      <w:pgSz w:w="11906" w:h="16838"/>
      <w:pgMar w:top="567" w:right="756" w:bottom="567" w:left="850" w:header="794" w:footer="7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方正粗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800D1">
    <w:pPr>
      <w:pStyle w:val="5"/>
      <w:ind w:firstLine="8314" w:firstLineChars="2800"/>
      <w:rPr>
        <w:rFonts w:hint="eastAsia" w:asciiTheme="minorEastAsia" w:hAnsiTheme="minorEastAsia" w:eastAsiaTheme="minorEastAsia" w:cstheme="minorEastAsia"/>
        <w:b/>
        <w:bCs/>
        <w:spacing w:val="28"/>
        <w:sz w:val="24"/>
        <w:u w:val="single"/>
      </w:rPr>
    </w:pPr>
    <w:r>
      <w:rPr>
        <w:rFonts w:hint="eastAsia" w:asciiTheme="minorEastAsia" w:hAnsiTheme="minorEastAsia" w:eastAsiaTheme="minorEastAsia" w:cstheme="minorEastAsia"/>
        <w:b/>
        <w:bCs/>
        <w:spacing w:val="28"/>
        <w:sz w:val="24"/>
        <w:u w:val="single"/>
      </w:rPr>
      <w:drawing>
        <wp:anchor distT="0" distB="0" distL="114300" distR="114300" simplePos="0" relativeHeight="251659264" behindDoc="1" locked="0" layoutInCell="1" allowOverlap="1">
          <wp:simplePos x="0" y="0"/>
          <wp:positionH relativeFrom="column">
            <wp:posOffset>-533400</wp:posOffset>
          </wp:positionH>
          <wp:positionV relativeFrom="paragraph">
            <wp:posOffset>-504825</wp:posOffset>
          </wp:positionV>
          <wp:extent cx="7552690" cy="10687050"/>
          <wp:effectExtent l="0" t="0" r="10160" b="0"/>
          <wp:wrapNone/>
          <wp:docPr id="1"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
                  <pic:cNvPicPr>
                    <a:picLocks noChangeAspect="1"/>
                  </pic:cNvPicPr>
                </pic:nvPicPr>
                <pic:blipFill>
                  <a:blip r:embed="rId1"/>
                  <a:stretch>
                    <a:fillRect/>
                  </a:stretch>
                </pic:blipFill>
                <pic:spPr>
                  <a:xfrm>
                    <a:off x="0" y="0"/>
                    <a:ext cx="7552690" cy="106870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3ZmNkNjI2ZjQwNTUyZWFjZGI2NzNjNWI2NDY1ODkifQ=="/>
  </w:docVars>
  <w:rsids>
    <w:rsidRoot w:val="758145AF"/>
    <w:rsid w:val="00031A96"/>
    <w:rsid w:val="003504E2"/>
    <w:rsid w:val="00587C8E"/>
    <w:rsid w:val="008A2AAD"/>
    <w:rsid w:val="009C74DF"/>
    <w:rsid w:val="009D53D0"/>
    <w:rsid w:val="00A402EF"/>
    <w:rsid w:val="00B761D1"/>
    <w:rsid w:val="00C02298"/>
    <w:rsid w:val="00D057CB"/>
    <w:rsid w:val="02247DD0"/>
    <w:rsid w:val="035906F9"/>
    <w:rsid w:val="03C4579B"/>
    <w:rsid w:val="05154DFC"/>
    <w:rsid w:val="08225CF2"/>
    <w:rsid w:val="08ED3689"/>
    <w:rsid w:val="0A571475"/>
    <w:rsid w:val="0CEC7C2A"/>
    <w:rsid w:val="0E1B21E9"/>
    <w:rsid w:val="0F337F2A"/>
    <w:rsid w:val="10116385"/>
    <w:rsid w:val="121A1BB5"/>
    <w:rsid w:val="12366268"/>
    <w:rsid w:val="14521E05"/>
    <w:rsid w:val="155A2589"/>
    <w:rsid w:val="184856C9"/>
    <w:rsid w:val="185279FF"/>
    <w:rsid w:val="19526964"/>
    <w:rsid w:val="19AE0981"/>
    <w:rsid w:val="1B0E2B20"/>
    <w:rsid w:val="200C59D1"/>
    <w:rsid w:val="217E4236"/>
    <w:rsid w:val="22B05EEF"/>
    <w:rsid w:val="23631F6B"/>
    <w:rsid w:val="23CC5E1A"/>
    <w:rsid w:val="23D62E05"/>
    <w:rsid w:val="24783A57"/>
    <w:rsid w:val="25F833DA"/>
    <w:rsid w:val="27EA60CE"/>
    <w:rsid w:val="29894976"/>
    <w:rsid w:val="2B695688"/>
    <w:rsid w:val="2D114D06"/>
    <w:rsid w:val="2D470BBD"/>
    <w:rsid w:val="2DCF2D88"/>
    <w:rsid w:val="2EB81932"/>
    <w:rsid w:val="2F0517E5"/>
    <w:rsid w:val="322D7F76"/>
    <w:rsid w:val="32C5225F"/>
    <w:rsid w:val="33753FB8"/>
    <w:rsid w:val="3748711F"/>
    <w:rsid w:val="38E467B7"/>
    <w:rsid w:val="3BC02C55"/>
    <w:rsid w:val="3DE47B36"/>
    <w:rsid w:val="3E4805FB"/>
    <w:rsid w:val="3FFB4CC3"/>
    <w:rsid w:val="411B4F3D"/>
    <w:rsid w:val="41D94AFE"/>
    <w:rsid w:val="41DE193A"/>
    <w:rsid w:val="432C1E09"/>
    <w:rsid w:val="43BB6C43"/>
    <w:rsid w:val="4482782B"/>
    <w:rsid w:val="47854802"/>
    <w:rsid w:val="4A9D3546"/>
    <w:rsid w:val="4D18420E"/>
    <w:rsid w:val="4DE0619F"/>
    <w:rsid w:val="4F051211"/>
    <w:rsid w:val="4F116430"/>
    <w:rsid w:val="506E5A69"/>
    <w:rsid w:val="50B670A5"/>
    <w:rsid w:val="50CD19BE"/>
    <w:rsid w:val="51347682"/>
    <w:rsid w:val="53FB7003"/>
    <w:rsid w:val="548B5729"/>
    <w:rsid w:val="54C14AF1"/>
    <w:rsid w:val="54E5137D"/>
    <w:rsid w:val="57C61C53"/>
    <w:rsid w:val="58607F04"/>
    <w:rsid w:val="587902B5"/>
    <w:rsid w:val="593F76F2"/>
    <w:rsid w:val="5AC425E4"/>
    <w:rsid w:val="5C2515ED"/>
    <w:rsid w:val="5C746E4A"/>
    <w:rsid w:val="5E2A1A81"/>
    <w:rsid w:val="60771479"/>
    <w:rsid w:val="63793AF4"/>
    <w:rsid w:val="655F7E1E"/>
    <w:rsid w:val="67B72D2A"/>
    <w:rsid w:val="6AC57204"/>
    <w:rsid w:val="6AEF1DE1"/>
    <w:rsid w:val="6C111246"/>
    <w:rsid w:val="6C2A2313"/>
    <w:rsid w:val="6CDF1332"/>
    <w:rsid w:val="6DAE59F8"/>
    <w:rsid w:val="750677E2"/>
    <w:rsid w:val="758145AF"/>
    <w:rsid w:val="77FD7967"/>
    <w:rsid w:val="7A8175AD"/>
    <w:rsid w:val="7ADC4ECC"/>
    <w:rsid w:val="7B66335D"/>
    <w:rsid w:val="7BD21C4B"/>
    <w:rsid w:val="7C7D0C58"/>
    <w:rsid w:val="7CAF4B17"/>
    <w:rsid w:val="7D121F3E"/>
    <w:rsid w:val="7D167D1F"/>
    <w:rsid w:val="7D503D4A"/>
    <w:rsid w:val="7DF807CB"/>
    <w:rsid w:val="7EAC6A8E"/>
    <w:rsid w:val="7F1179A7"/>
    <w:rsid w:val="7F1601BC"/>
    <w:rsid w:val="7FAB7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lang w:val="zh-CN" w:bidi="zh-CN"/>
    </w:rPr>
  </w:style>
  <w:style w:type="paragraph" w:styleId="3">
    <w:name w:val="Normal Indent"/>
    <w:basedOn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kern w:val="0"/>
      <w:sz w:val="24"/>
    </w:rPr>
  </w:style>
  <w:style w:type="paragraph" w:styleId="7">
    <w:name w:val="Body Text First Indent"/>
    <w:basedOn w:val="2"/>
    <w:qFormat/>
    <w:uiPriority w:val="0"/>
    <w:pPr>
      <w:spacing w:after="120"/>
      <w:ind w:firstLine="420" w:firstLineChars="100"/>
    </w:pPr>
    <w:rPr>
      <w:rFonts w:ascii="Times New Roman" w:hAnsi="Times New Roma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customStyle="1" w:styleId="13">
    <w:name w:val="p15"/>
    <w:basedOn w:val="1"/>
    <w:qFormat/>
    <w:uiPriority w:val="0"/>
    <w:pPr>
      <w:widowControl/>
    </w:pPr>
    <w:rPr>
      <w:kern w:val="0"/>
      <w:szCs w:val="21"/>
    </w:rPr>
  </w:style>
  <w:style w:type="paragraph" w:customStyle="1" w:styleId="14">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15">
    <w:name w:val="apple-converted-space"/>
    <w:basedOn w:val="10"/>
    <w:qFormat/>
    <w:uiPriority w:val="0"/>
  </w:style>
  <w:style w:type="character" w:customStyle="1" w:styleId="16">
    <w:name w:val="NormalCharacter"/>
    <w:qFormat/>
    <w:uiPriority w:val="0"/>
    <w:rPr>
      <w:rFonts w:ascii="Calibri" w:hAnsi="Calibri" w:eastAsia="宋体" w:cs="Times New Roman"/>
      <w:kern w:val="2"/>
      <w:sz w:val="21"/>
      <w:szCs w:val="22"/>
      <w:lang w:val="en-US" w:eastAsia="zh-CN" w:bidi="ar-SA"/>
    </w:rPr>
  </w:style>
  <w:style w:type="paragraph" w:customStyle="1" w:styleId="17">
    <w:name w:val="cs37 additive fs18 page"/>
    <w:qFormat/>
    <w:uiPriority w:val="0"/>
    <w:pPr>
      <w:widowControl w:val="0"/>
      <w:adjustRightInd w:val="0"/>
      <w:jc w:val="both"/>
    </w:pPr>
    <w:rPr>
      <w:rFonts w:ascii="Times New Roman" w:hAnsi="Times New Roman" w:eastAsia="宋体" w:cs="Times New Roman"/>
      <w:sz w:val="21"/>
      <w:lang w:val="en-US" w:eastAsia="zh-CN" w:bidi="ar-SA"/>
    </w:rPr>
  </w:style>
  <w:style w:type="paragraph" w:customStyle="1" w:styleId="18">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马卡龙">
      <a:dk1>
        <a:srgbClr val="000000"/>
      </a:dk1>
      <a:lt1>
        <a:srgbClr val="FFFFFF"/>
      </a:lt1>
      <a:dk2>
        <a:srgbClr val="BDE2EA"/>
      </a:dk2>
      <a:lt2>
        <a:srgbClr val="B2D7D2"/>
      </a:lt2>
      <a:accent1>
        <a:srgbClr val="DFCCC6"/>
      </a:accent1>
      <a:accent2>
        <a:srgbClr val="E6C1B9"/>
      </a:accent2>
      <a:accent3>
        <a:srgbClr val="E5C6AB"/>
      </a:accent3>
      <a:accent4>
        <a:srgbClr val="F2CA8E"/>
      </a:accent4>
      <a:accent5>
        <a:srgbClr val="D1AB9E"/>
      </a:accent5>
      <a:accent6>
        <a:srgbClr val="A97A58"/>
      </a:accent6>
      <a:hlink>
        <a:srgbClr val="E897BE"/>
      </a:hlink>
      <a:folHlink>
        <a:srgbClr val="E85F9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1435</Words>
  <Characters>1465</Characters>
  <Lines>42</Lines>
  <Paragraphs>11</Paragraphs>
  <TotalTime>0</TotalTime>
  <ScaleCrop>false</ScaleCrop>
  <LinksUpToDate>false</LinksUpToDate>
  <CharactersWithSpaces>1575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2024-09-19T08:18:00Z</dcterms:created>
  <dc:creator>青卿</dc:creator>
  <cp:lastModifiedBy>青旅总部阿宝</cp:lastModifiedBy>
  <dcterms:modified xsi:type="dcterms:W3CDTF">2024-10-21T09:17:11Z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EB1E6B97269A4B2386EAFC5B82F0D83B_13</vt:lpwstr>
  </property>
</Properties>
</file>