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-1158875</wp:posOffset>
            </wp:positionH>
            <wp:positionV relativeFrom="paragraph">
              <wp:posOffset>-914400</wp:posOffset>
            </wp:positionV>
            <wp:extent cx="7635240" cy="10795000"/>
            <wp:effectExtent l="0" t="0" r="0" b="6350"/>
            <wp:wrapTight wrapText="bothSides">
              <wp:wrapPolygon>
                <wp:start x="0" y="0"/>
                <wp:lineTo x="0" y="21575"/>
                <wp:lineTo x="21557" y="21575"/>
                <wp:lineTo x="21557" y="0"/>
                <wp:lineTo x="0" y="0"/>
              </wp:wrapPolygon>
            </wp:wrapTight>
            <wp:docPr id="1" name="图片 1" descr="C:\Users\Administrator\Desktop\西安唐文旅行程改 0609\L1\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西安唐文旅行程改 0609\L1\首页图.jpg首页图"/>
                    <pic:cNvPicPr>
                      <a:picLocks noChangeAspect="1"/>
                    </pic:cNvPicPr>
                  </pic:nvPicPr>
                  <pic:blipFill>
                    <a:blip r:embed="rId5"/>
                    <a:srcRect/>
                    <a:stretch>
                      <a:fillRect/>
                    </a:stretch>
                  </pic:blipFill>
                  <pic:spPr>
                    <a:xfrm>
                      <a:off x="0" y="0"/>
                      <a:ext cx="7635240" cy="10795000"/>
                    </a:xfrm>
                    <a:prstGeom prst="rect">
                      <a:avLst/>
                    </a:prstGeom>
                  </pic:spPr>
                </pic:pic>
              </a:graphicData>
            </a:graphic>
          </wp:anchor>
        </w:drawing>
      </w:r>
    </w:p>
    <w:p>
      <w:r>
        <w:rPr>
          <w:rFonts w:hint="eastAsia" w:ascii="楷体" w:hAnsi="楷体" w:eastAsia="楷体" w:cs="楷体"/>
          <w:b/>
          <w:sz w:val="4"/>
          <w:lang w:eastAsia="zh-CN"/>
        </w:rPr>
        <w:drawing>
          <wp:anchor distT="0" distB="0" distL="114935" distR="114935" simplePos="0" relativeHeight="251662336" behindDoc="0" locked="0" layoutInCell="1" allowOverlap="1">
            <wp:simplePos x="0" y="0"/>
            <wp:positionH relativeFrom="column">
              <wp:posOffset>-1137285</wp:posOffset>
            </wp:positionH>
            <wp:positionV relativeFrom="paragraph">
              <wp:posOffset>-919480</wp:posOffset>
            </wp:positionV>
            <wp:extent cx="7567295" cy="10735945"/>
            <wp:effectExtent l="0" t="0" r="14605" b="8255"/>
            <wp:wrapNone/>
            <wp:docPr id="5" name="图片 5" descr="4d17146737e7a241aee2358838bb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d17146737e7a241aee2358838bb329"/>
                    <pic:cNvPicPr>
                      <a:picLocks noChangeAspect="1"/>
                    </pic:cNvPicPr>
                  </pic:nvPicPr>
                  <pic:blipFill>
                    <a:blip r:embed="rId6"/>
                    <a:stretch>
                      <a:fillRect/>
                    </a:stretch>
                  </pic:blipFill>
                  <pic:spPr>
                    <a:xfrm>
                      <a:off x="0" y="0"/>
                      <a:ext cx="7567295" cy="10735945"/>
                    </a:xfrm>
                    <a:prstGeom prst="rect">
                      <a:avLst/>
                    </a:prstGeom>
                  </pic:spPr>
                </pic:pic>
              </a:graphicData>
            </a:graphic>
          </wp:anchor>
        </w:drawing>
      </w:r>
    </w:p>
    <w:p/>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ascii="楷体" w:hAnsi="楷体" w:eastAsia="楷体" w:cs="楷体"/>
          <w:b/>
          <w:sz w:val="4"/>
          <w:lang w:eastAsia="zh-CN"/>
        </w:rPr>
        <w:drawing>
          <wp:anchor distT="0" distB="0" distL="114935" distR="114935" simplePos="0" relativeHeight="251663360" behindDoc="0" locked="0" layoutInCell="1" allowOverlap="1">
            <wp:simplePos x="0" y="0"/>
            <wp:positionH relativeFrom="column">
              <wp:posOffset>-1141095</wp:posOffset>
            </wp:positionH>
            <wp:positionV relativeFrom="paragraph">
              <wp:posOffset>-955675</wp:posOffset>
            </wp:positionV>
            <wp:extent cx="7646670" cy="10756900"/>
            <wp:effectExtent l="0" t="0" r="11430" b="6350"/>
            <wp:wrapNone/>
            <wp:docPr id="7" name="图片 7" descr="c659b2dc5e6fe6dd5ae21cd1c4fc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659b2dc5e6fe6dd5ae21cd1c4fc67a"/>
                    <pic:cNvPicPr>
                      <a:picLocks noChangeAspect="1"/>
                    </pic:cNvPicPr>
                  </pic:nvPicPr>
                  <pic:blipFill>
                    <a:blip r:embed="rId7"/>
                    <a:stretch>
                      <a:fillRect/>
                    </a:stretch>
                  </pic:blipFill>
                  <pic:spPr>
                    <a:xfrm>
                      <a:off x="0" y="0"/>
                      <a:ext cx="7646670" cy="1075690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bl>
      <w:tblPr>
        <w:tblStyle w:val="6"/>
        <w:tblpPr w:leftFromText="180" w:rightFromText="180" w:vertAnchor="text" w:horzAnchor="page" w:tblpX="552" w:tblpY="203"/>
        <w:tblOverlap w:val="never"/>
        <w:tblW w:w="10790"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0" w:type="dxa"/>
          <w:bottom w:w="0" w:type="dxa"/>
          <w:right w:w="0" w:type="dxa"/>
        </w:tblCellMar>
      </w:tblPr>
      <w:tblGrid>
        <w:gridCol w:w="1026"/>
        <w:gridCol w:w="736"/>
        <w:gridCol w:w="4701"/>
        <w:gridCol w:w="769"/>
        <w:gridCol w:w="956"/>
        <w:gridCol w:w="900"/>
        <w:gridCol w:w="1702"/>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672"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292" w:hRule="atLeast"/>
          <w:jc w:val="center"/>
        </w:trPr>
        <w:tc>
          <w:tcPr>
            <w:tcW w:w="1762" w:type="dxa"/>
            <w:gridSpan w:val="2"/>
            <w:tcBorders>
              <w:tl2br w:val="nil"/>
              <w:tr2bl w:val="nil"/>
            </w:tcBorders>
            <w:shd w:val="clear" w:color="auto" w:fill="823B0B" w:themeFill="accent2" w:themeFillShade="7F"/>
            <w:noWrap w:val="0"/>
            <w:vAlign w:val="top"/>
          </w:tcPr>
          <w:p>
            <w:pPr>
              <w:pStyle w:val="2"/>
              <w:ind w:left="0" w:leftChars="0" w:firstLine="240" w:firstLineChars="100"/>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858"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21"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sz w:val="21"/>
                <w:szCs w:val="21"/>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（如果特色餐食临时无法安排，则改为同标准桌餐等）</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1381" w:hRule="atLeast"/>
          <w:jc w:val="center"/>
        </w:trPr>
        <w:tc>
          <w:tcPr>
            <w:tcW w:w="10790"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 xml:space="preserve">联系您，请联系出团通知书紧急联系人。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450" w:hRule="atLeast"/>
          <w:jc w:val="center"/>
        </w:trPr>
        <w:tc>
          <w:tcPr>
            <w:tcW w:w="1762" w:type="dxa"/>
            <w:gridSpan w:val="2"/>
            <w:tcBorders>
              <w:tl2br w:val="nil"/>
              <w:tr2bl w:val="nil"/>
            </w:tcBorders>
            <w:shd w:val="clear" w:color="auto" w:fill="823B0B" w:themeFill="accent2" w:themeFillShade="7F"/>
            <w:noWrap w:val="0"/>
            <w:vAlign w:val="center"/>
          </w:tcPr>
          <w:p>
            <w:pPr>
              <w:pStyle w:val="2"/>
              <w:ind w:left="0" w:leftChars="0" w:firstLine="0" w:firstLineChars="0"/>
              <w:jc w:val="center"/>
              <w:rPr>
                <w:rFonts w:hint="eastAsia" w:ascii="微软雅黑" w:hAnsi="微软雅黑" w:eastAsia="微软雅黑" w:cs="微软雅黑"/>
                <w:color w:val="3F3F3F"/>
                <w:sz w:val="18"/>
                <w:szCs w:val="18"/>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9028" w:type="dxa"/>
            <w:gridSpan w:val="5"/>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26" w:hRule="atLeast"/>
          <w:jc w:val="center"/>
        </w:trPr>
        <w:tc>
          <w:tcPr>
            <w:tcW w:w="10790" w:type="dxa"/>
            <w:gridSpan w:val="7"/>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1"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702"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35"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b w:val="0"/>
                <w:bCs w:val="0"/>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jc w:val="center"/>
              <w:rPr>
                <w:rFonts w:hint="default"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348" w:hRule="atLeast"/>
          <w:jc w:val="center"/>
        </w:trPr>
        <w:tc>
          <w:tcPr>
            <w:tcW w:w="1026" w:type="dxa"/>
            <w:tcBorders>
              <w:tl2br w:val="nil"/>
              <w:tr2bl w:val="nil"/>
            </w:tcBorders>
            <w:shd w:val="clear" w:color="auto" w:fill="F3F3F3"/>
            <w:noWrap w:val="0"/>
            <w:vAlign w:val="center"/>
          </w:tcPr>
          <w:p>
            <w:pPr>
              <w:adjustRightInd w:val="0"/>
              <w:snapToGrid w:val="0"/>
              <w:spacing w:line="260" w:lineRule="exact"/>
              <w:jc w:val="center"/>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兵马俑--华清池-3D巨幕电影或VR体验</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center"/>
          </w:tcPr>
          <w:p>
            <w:pPr>
              <w:pStyle w:val="11"/>
              <w:ind w:left="0" w:leftChars="0" w:firstLine="0" w:firstLineChars="0"/>
              <w:jc w:val="center"/>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26"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top"/>
          </w:tcPr>
          <w:p>
            <w:pPr>
              <w:pStyle w:val="2"/>
              <w:ind w:left="0" w:leftChars="0" w:firstLine="0" w:firstLineChars="0"/>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702" w:type="dxa"/>
            <w:tcBorders>
              <w:tl2br w:val="nil"/>
              <w:tr2bl w:val="nil"/>
            </w:tcBorders>
            <w:shd w:val="clear" w:color="auto" w:fill="F3F3F3"/>
            <w:noWrap w:val="0"/>
            <w:vAlign w:val="top"/>
          </w:tcPr>
          <w:p>
            <w:pPr>
              <w:pStyle w:val="2"/>
              <w:ind w:left="0" w:leftChars="0" w:firstLine="0" w:firstLineChars="0"/>
              <w:jc w:val="center"/>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0" w:type="dxa"/>
            <w:bottom w:w="0" w:type="dxa"/>
            <w:right w:w="0" w:type="dxa"/>
          </w:tblCellMar>
        </w:tblPrEx>
        <w:trPr>
          <w:trHeight w:val="90" w:hRule="atLeast"/>
          <w:jc w:val="center"/>
        </w:trPr>
        <w:tc>
          <w:tcPr>
            <w:tcW w:w="10790" w:type="dxa"/>
            <w:gridSpan w:val="7"/>
            <w:tcBorders>
              <w:tl2br w:val="nil"/>
              <w:tr2bl w:val="nil"/>
            </w:tcBorders>
            <w:shd w:val="clear" w:color="auto" w:fill="F3F3F3"/>
            <w:noWrap w:val="0"/>
            <w:vAlign w:val="top"/>
          </w:tcPr>
          <w:tbl>
            <w:tblPr>
              <w:tblStyle w:val="6"/>
              <w:tblpPr w:leftFromText="180" w:rightFromText="180" w:vertAnchor="text" w:horzAnchor="page" w:tblpX="-116" w:tblpY="155"/>
              <w:tblOverlap w:val="never"/>
              <w:tblW w:w="10693" w:type="dxa"/>
              <w:tblInd w:w="7" w:type="dxa"/>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Layout w:type="fixed"/>
              <w:tblCellMar>
                <w:top w:w="0" w:type="dxa"/>
                <w:left w:w="108" w:type="dxa"/>
                <w:bottom w:w="0" w:type="dxa"/>
                <w:right w:w="108" w:type="dxa"/>
              </w:tblCellMar>
            </w:tblPr>
            <w:tblGrid>
              <w:gridCol w:w="1339"/>
              <w:gridCol w:w="5508"/>
              <w:gridCol w:w="1632"/>
              <w:gridCol w:w="2214"/>
            </w:tblGrid>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PrEx>
              <w:trPr>
                <w:trHeight w:val="511"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四川--西安</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无</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1" w:hRule="atLeast"/>
              </w:trPr>
              <w:tc>
                <w:tcPr>
                  <w:tcW w:w="1069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480" w:firstLineChars="2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根据动车或高铁时间，乘动车前往十三朝古都西安，司机接团后入住酒店休息。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color w:val="333333"/>
                      <w:sz w:val="21"/>
                      <w:szCs w:val="21"/>
                      <w:lang w:eastAsia="zh-CN"/>
                    </w:rPr>
                  </w:pPr>
                  <w:r>
                    <w:rPr>
                      <w:rFonts w:hint="eastAsia" w:ascii="微软雅黑" w:hAnsi="微软雅黑" w:eastAsia="微软雅黑" w:cs="微软雅黑"/>
                      <w:color w:val="333333"/>
                      <w:sz w:val="21"/>
                      <w:szCs w:val="21"/>
                      <w:lang w:eastAsia="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left="109" w:right="166" w:rightChars="79" w:firstLine="420" w:firstLineChars="200"/>
                    <w:jc w:val="both"/>
                    <w:textAlignment w:val="auto"/>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案板街”里的《易俗社》欣赏地方戏、陕派相声、脱口秀等节目！或者结伴同行的亲友相约于“南大街粉巷”里的《德福巷“咖啡酒吧茶馆”一条街》，这里“安静、热闹、中式、西式”各类型酒吧茶馆一应俱全</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left"/>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FF0000"/>
                      <w:sz w:val="21"/>
                      <w:szCs w:val="21"/>
                      <w:lang w:eastAsia="zh-CN"/>
                    </w:rPr>
                    <w:t>温馨提示：由于是拼车接站，接站过程有可能会有等待，请知晓！</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32"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463" w:hRule="atLeast"/>
              </w:trPr>
              <w:tc>
                <w:tcPr>
                  <w:tcW w:w="1069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80" w:firstLineChars="200"/>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adjustRightInd w:val="0"/>
                    <w:snapToGrid w:val="0"/>
                    <w:ind w:firstLine="480" w:firstLineChars="200"/>
                    <w:jc w:val="left"/>
                    <w:rPr>
                      <w:rFonts w:hint="eastAsia" w:ascii="微软雅黑" w:hAnsi="微软雅黑" w:eastAsia="微软雅黑" w:cs="微软雅黑"/>
                      <w:bCs/>
                      <w:color w:val="333333"/>
                      <w:sz w:val="24"/>
                      <w:szCs w:val="24"/>
                      <w:lang w:val="en-US"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r>
                    <w:rPr>
                      <w:rFonts w:hint="eastAsia" w:ascii="微软雅黑" w:hAnsi="微软雅黑" w:eastAsia="微软雅黑" w:cs="微软雅黑"/>
                      <w:bCs/>
                      <w:color w:val="333333"/>
                      <w:sz w:val="24"/>
                      <w:szCs w:val="24"/>
                      <w:lang w:eastAsia="zh-CN"/>
                    </w:rPr>
                    <w:t>返回西安。</w:t>
                  </w:r>
                  <w:r>
                    <w:rPr>
                      <w:rFonts w:hint="eastAsia" w:ascii="微软雅黑" w:hAnsi="微软雅黑" w:eastAsia="微软雅黑" w:cs="微软雅黑"/>
                      <w:bCs/>
                      <w:color w:val="333333"/>
                      <w:sz w:val="24"/>
                      <w:szCs w:val="24"/>
                      <w:lang w:val="en-US" w:eastAsia="zh-CN"/>
                    </w:rPr>
                    <w:t xml:space="preserve">  </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2"/>
                      <w:szCs w:val="22"/>
                      <w:lang w:eastAsia="zh-CN"/>
                    </w:rPr>
                    <w:drawing>
                      <wp:inline distT="0" distB="0" distL="114300" distR="114300">
                        <wp:extent cx="6646545" cy="1556385"/>
                        <wp:effectExtent l="0" t="0" r="0" b="0"/>
                        <wp:docPr id="2" name="图片 2"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兵马俑.png兵马俑"/>
                                <pic:cNvPicPr>
                                  <a:picLocks noChangeAspect="1"/>
                                </pic:cNvPicPr>
                              </pic:nvPicPr>
                              <pic:blipFill>
                                <a:blip r:embed="rId8"/>
                                <a:srcRect/>
                                <a:stretch>
                                  <a:fillRect/>
                                </a:stretch>
                              </pic:blipFill>
                              <pic:spPr>
                                <a:xfrm>
                                  <a:off x="0" y="0"/>
                                  <a:ext cx="6646545" cy="1556385"/>
                                </a:xfrm>
                                <a:prstGeom prst="rect">
                                  <a:avLst/>
                                </a:prstGeom>
                              </pic:spPr>
                            </pic:pic>
                          </a:graphicData>
                        </a:graphic>
                      </wp:inline>
                    </w:drawing>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PrEx>
              <w:trPr>
                <w:trHeight w:val="308"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（以导游实际推荐为准，价格以景区当天公布为准）</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元起，演出约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248元起，演出约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升级秦始皇统一天下后招待六国使臣的《秦宴》（如果特色餐食临时无法安排，则改为同标准桌餐等）</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02"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422" w:leftChars="477" w:hanging="420" w:hangingChars="20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4、大唐不夜城为赠送项目，此活动在参观完自费演出后统一安排前往，因大唐不夜城街区特殊性，游客朋友在大唐不夜城为自由活动。</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339" w:type="dxa"/>
                  <w:tcBorders>
                    <w:tl2br w:val="nil"/>
                    <w:tr2bl w:val="nil"/>
                  </w:tcBorders>
                  <w:shd w:val="clear" w:color="auto" w:fill="823B0B" w:themeFill="accent2" w:themeFillShade="7F"/>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大雁塔</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钟鼓楼广场</w:t>
                  </w:r>
                  <w:r>
                    <w:rPr>
                      <w:rFonts w:hint="eastAsia" w:ascii="微软雅黑" w:hAnsi="微软雅黑" w:eastAsia="微软雅黑" w:cs="微软雅黑"/>
                      <w:b/>
                      <w:color w:val="FFFF99"/>
                      <w:sz w:val="24"/>
                      <w:szCs w:val="22"/>
                      <w:lang w:val="en-US" w:eastAsia="zh-CN" w:bidi="zh-CN"/>
                    </w:rPr>
                    <w:t>--</w:t>
                  </w:r>
                  <w:r>
                    <w:rPr>
                      <w:rFonts w:hint="eastAsia" w:ascii="微软雅黑" w:hAnsi="微软雅黑" w:eastAsia="微软雅黑" w:cs="微软雅黑"/>
                      <w:b/>
                      <w:color w:val="FFFF99"/>
                      <w:sz w:val="24"/>
                      <w:lang w:val="en-US" w:eastAsia="zh-CN"/>
                    </w:rPr>
                    <w:t>回民街</w:t>
                  </w:r>
                </w:p>
              </w:tc>
              <w:tc>
                <w:tcPr>
                  <w:tcW w:w="1632"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p>
              </w:tc>
              <w:tc>
                <w:tcPr>
                  <w:tcW w:w="2214" w:type="dxa"/>
                  <w:tcBorders>
                    <w:tl2br w:val="nil"/>
                    <w:tr2bl w:val="nil"/>
                  </w:tcBorders>
                  <w:shd w:val="clear" w:color="auto" w:fill="823B0B" w:themeFill="accent2" w:themeFillShade="7F"/>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823B0B" w:themeColor="accent2" w:themeShade="7F" w:sz="12" w:space="0"/>
                  <w:left w:val="single" w:color="823B0B" w:themeColor="accent2" w:themeShade="7F" w:sz="12" w:space="0"/>
                  <w:bottom w:val="single" w:color="823B0B" w:themeColor="accent2" w:themeShade="7F" w:sz="12" w:space="0"/>
                  <w:right w:val="single" w:color="823B0B" w:themeColor="accent2" w:themeShade="7F" w:sz="12" w:space="0"/>
                  <w:insideH w:val="single" w:color="823B0B" w:themeColor="accent2" w:themeShade="7F" w:sz="12" w:space="0"/>
                  <w:insideV w:val="single" w:color="823B0B" w:themeColor="accent2" w:themeShade="7F" w:sz="12" w:space="0"/>
                </w:tblBorders>
                <w:tblCellMar>
                  <w:top w:w="0" w:type="dxa"/>
                  <w:left w:w="108" w:type="dxa"/>
                  <w:bottom w:w="0" w:type="dxa"/>
                  <w:right w:w="108" w:type="dxa"/>
                </w:tblCellMar>
              </w:tblPrEx>
              <w:trPr>
                <w:trHeight w:val="515" w:hRule="atLeast"/>
              </w:trPr>
              <w:tc>
                <w:tcPr>
                  <w:tcW w:w="1069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bCs/>
                      <w:i w:val="0"/>
                      <w:iCs w:val="0"/>
                      <w:caps w:val="0"/>
                      <w:color w:val="F90707"/>
                      <w:spacing w:val="7"/>
                      <w:sz w:val="24"/>
                      <w:szCs w:val="24"/>
                      <w:lang w:eastAsia="zh-CN"/>
                    </w:rPr>
                    <w:t>，</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1312" behindDoc="0" locked="0" layoutInCell="1" allowOverlap="1">
                        <wp:simplePos x="0" y="0"/>
                        <wp:positionH relativeFrom="column">
                          <wp:posOffset>-6350</wp:posOffset>
                        </wp:positionH>
                        <wp:positionV relativeFrom="paragraph">
                          <wp:posOffset>882650</wp:posOffset>
                        </wp:positionV>
                        <wp:extent cx="6628765" cy="1325880"/>
                        <wp:effectExtent l="0" t="0" r="0" b="762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9"/>
                                <a:srcRect/>
                                <a:stretch>
                                  <a:fillRect/>
                                </a:stretch>
                              </pic:blipFill>
                              <pic:spPr>
                                <a:xfrm>
                                  <a:off x="0" y="0"/>
                                  <a:ext cx="6628765" cy="1325880"/>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中餐自理，告别以往的团餐，想吃什么由您做主，可自行品尝300种特色小吃，柳枝羊肉串、贾三灌汤包子、老米家羊肉泡馍、东南亚甄糕、麻酱凉皮、黄桂柿子饼、 水盆羊肉、卤汁凉粉 这些充满烟火气息的小店，才是吃货们的追逐之地......</w:t>
                  </w:r>
                </w:p>
              </w:tc>
            </w:tr>
          </w:tbl>
          <w:p>
            <w:pPr>
              <w:pStyle w:val="2"/>
              <w:ind w:left="0" w:leftChars="0" w:firstLine="0" w:firstLineChars="0"/>
              <w:rPr>
                <w:rFonts w:hint="eastAsia" w:ascii="微软雅黑" w:hAnsi="微软雅黑" w:eastAsia="微软雅黑" w:cs="微软雅黑"/>
                <w:color w:val="3F3F3F"/>
                <w:sz w:val="18"/>
                <w:szCs w:val="18"/>
                <w:lang w:val="en-US" w:eastAsia="zh-CN"/>
              </w:rPr>
            </w:pPr>
          </w:p>
        </w:tc>
      </w:tr>
    </w:tbl>
    <w:tbl>
      <w:tblPr>
        <w:tblStyle w:val="6"/>
        <w:tblpPr w:leftFromText="180" w:rightFromText="180" w:vertAnchor="text" w:horzAnchor="page" w:tblpX="639" w:tblpY="236"/>
        <w:tblOverlap w:val="never"/>
        <w:tblW w:w="10775" w:type="dxa"/>
        <w:jc w:val="center"/>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Layout w:type="fixed"/>
        <w:tblCellMar>
          <w:top w:w="0" w:type="dxa"/>
          <w:left w:w="108" w:type="dxa"/>
          <w:bottom w:w="0" w:type="dxa"/>
          <w:right w:w="108" w:type="dxa"/>
        </w:tblCellMar>
      </w:tblPr>
      <w:tblGrid>
        <w:gridCol w:w="1172"/>
        <w:gridCol w:w="1062"/>
        <w:gridCol w:w="8541"/>
      </w:tblGrid>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654" w:hRule="atLeast"/>
          <w:jc w:val="center"/>
        </w:trPr>
        <w:tc>
          <w:tcPr>
            <w:tcW w:w="10775" w:type="dxa"/>
            <w:gridSpan w:val="3"/>
            <w:tcBorders>
              <w:tl2br w:val="nil"/>
              <w:tr2bl w:val="nil"/>
            </w:tcBorders>
            <w:shd w:val="clear" w:color="auto" w:fill="823B0B" w:themeFill="accent2" w:themeFillShade="7F"/>
            <w:noWrap w:val="0"/>
            <w:vAlign w:val="center"/>
          </w:tcPr>
          <w:p>
            <w:pPr>
              <w:pStyle w:val="3"/>
              <w:spacing w:before="7"/>
              <w:ind w:right="231"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36"/>
                <w:szCs w:val="28"/>
              </w:rPr>
              <w:t>接</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待</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标</w:t>
            </w:r>
            <w:r>
              <w:rPr>
                <w:rFonts w:hint="eastAsia" w:ascii="微软雅黑" w:hAnsi="微软雅黑" w:eastAsia="微软雅黑" w:cs="微软雅黑"/>
                <w:b/>
                <w:color w:val="FFFFFF"/>
                <w:sz w:val="36"/>
                <w:szCs w:val="28"/>
                <w:lang w:val="en-US" w:eastAsia="zh-CN"/>
              </w:rPr>
              <w:t xml:space="preserve"> </w:t>
            </w:r>
            <w:r>
              <w:rPr>
                <w:rFonts w:hint="eastAsia" w:ascii="微软雅黑" w:hAnsi="微软雅黑" w:eastAsia="微软雅黑" w:cs="微软雅黑"/>
                <w:b/>
                <w:color w:val="FFFFFF"/>
                <w:sz w:val="36"/>
                <w:szCs w:val="28"/>
              </w:rPr>
              <w:t>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5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val="en-US" w:eastAsia="zh-CN"/>
              </w:rPr>
              <w:t>交通</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① 四川各地出发到西安北的往返动车二等座</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② 全程正规营运手续空调旅游车（科学防疫，安心出游，根据人数用车，保证每人（含婴）一正座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50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用餐</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 xml:space="preserve">全程2早餐1正餐（正餐十人一桌、八菜一汤，包含1个特色餐、不用餐者餐费不退） </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（特色餐如临时无法安排则改为同标准桌餐或自助）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1516" w:hRule="atLeast"/>
          <w:jc w:val="center"/>
        </w:trPr>
        <w:tc>
          <w:tcPr>
            <w:tcW w:w="1172"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eastAsia="zh-CN"/>
              </w:rPr>
              <w:t>住房</w:t>
            </w:r>
          </w:p>
        </w:tc>
        <w:tc>
          <w:tcPr>
            <w:tcW w:w="1062"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西安</w:t>
            </w:r>
          </w:p>
        </w:tc>
        <w:tc>
          <w:tcPr>
            <w:tcW w:w="8541"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舒适：君华酒店、锦天商务酒店、华泰酒店、巴蜀酒店、骏怡酒店、汉庭酒店、如家酒店、乐薇思酒店、怡莱酒店、卡森酒店、V1酒店、德正酒店、如意酒店、润佳酒店、仟佰度、高阁商务或同级</w:t>
            </w:r>
          </w:p>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轻奢：新西北大酒店、星程酒店、H酒店、锦江尚品、百事特威酒店、民幸精品酒店、气象宾馆、怡景假日酒店、汉邦系列酒店、希岸酒店、四季玉兰、沣华国际、西岳大酒店、民幸、景玉和悦、百事特威或同级</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74" w:hRule="atLeast"/>
          <w:jc w:val="center"/>
        </w:trPr>
        <w:tc>
          <w:tcPr>
            <w:tcW w:w="1172"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以上仅是参考酒店，会安排参考酒店外的同星级酒店，以最终实际安排为准。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门票</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只含首道景点大门票，景区配套设施请自理</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490" w:hRule="atLeast"/>
          <w:jc w:val="center"/>
        </w:trPr>
        <w:tc>
          <w:tcPr>
            <w:tcW w:w="1172"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优秀持证导游</w:t>
            </w:r>
            <w:r>
              <w:rPr>
                <w:rFonts w:hint="eastAsia" w:ascii="微软雅黑" w:hAnsi="微软雅黑" w:eastAsia="微软雅黑" w:cs="微软雅黑"/>
                <w:lang w:eastAsia="zh-CN"/>
              </w:rPr>
              <w:t>分段</w:t>
            </w:r>
            <w:r>
              <w:rPr>
                <w:rFonts w:hint="eastAsia" w:ascii="微软雅黑" w:hAnsi="微软雅黑" w:eastAsia="微软雅黑" w:cs="微软雅黑"/>
              </w:rPr>
              <w:t>服务</w:t>
            </w:r>
            <w:r>
              <w:rPr>
                <w:rFonts w:hint="eastAsia" w:ascii="微软雅黑" w:hAnsi="微软雅黑" w:eastAsia="微软雅黑" w:cs="微软雅黑"/>
                <w:lang w:eastAsia="zh-CN"/>
              </w:rPr>
              <w:t>，接送站无导游。</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365"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方正颜宋简体" w:hAnsi="方正颜宋简体" w:eastAsia="方正颜宋简体" w:cs="方正颜宋简体"/>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603"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kern w:val="2"/>
                <w:sz w:val="21"/>
                <w:szCs w:val="24"/>
                <w:lang w:val="zh-CN" w:eastAsia="zh-CN" w:bidi="ar-SA"/>
              </w:rPr>
            </w:pPr>
            <w:r>
              <w:rPr>
                <w:rFonts w:hint="eastAsia" w:ascii="微软雅黑" w:hAnsi="微软雅黑" w:eastAsia="微软雅黑" w:cs="微软雅黑"/>
                <w:kern w:val="2"/>
                <w:sz w:val="21"/>
                <w:szCs w:val="24"/>
                <w:lang w:val="en-US" w:eastAsia="zh-CN" w:bidi="ar-SA"/>
              </w:rPr>
              <w:t>旅行社责任险、旅游意外险（最高赔付为10万元，如需增加保额，请提前告知）</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rPr>
            </w:pPr>
            <w:r>
              <w:rPr>
                <w:rFonts w:hint="eastAsia" w:ascii="微软雅黑" w:hAnsi="微软雅黑" w:eastAsia="微软雅黑" w:cs="微软雅黑"/>
                <w:b/>
                <w:bCs/>
                <w:sz w:val="28"/>
                <w:szCs w:val="28"/>
                <w:lang w:val="en-US"/>
              </w:rPr>
              <w:t>特别</w:t>
            </w:r>
          </w:p>
          <w:p>
            <w:pPr>
              <w:jc w:val="center"/>
              <w:rPr>
                <w:rFonts w:hint="eastAsia" w:ascii="微软雅黑" w:hAnsi="微软雅黑" w:eastAsia="微软雅黑" w:cs="微软雅黑"/>
                <w:b/>
                <w:bCs/>
                <w:sz w:val="28"/>
                <w:szCs w:val="28"/>
                <w:lang w:val="en-US" w:eastAsia="zh-CN" w:bidi="zh-CN"/>
              </w:rPr>
            </w:pPr>
            <w:r>
              <w:rPr>
                <w:rFonts w:hint="eastAsia" w:ascii="微软雅黑" w:hAnsi="微软雅黑" w:eastAsia="微软雅黑" w:cs="微软雅黑"/>
                <w:b/>
                <w:bCs/>
                <w:sz w:val="28"/>
                <w:szCs w:val="28"/>
                <w:lang w:val="en-US"/>
              </w:rPr>
              <w:t>提示</w:t>
            </w:r>
          </w:p>
        </w:tc>
        <w:tc>
          <w:tcPr>
            <w:tcW w:w="9603"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b/>
                <w:bCs/>
              </w:rPr>
              <w:t>1、行程中赠送项目，因游客自行放弃或不可抗力因素（如剧场停演等）导致不能参加的，无费用退还；</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2、赠送项目因国家法定节假日无法安排时，我社不予退费；</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rPr>
            </w:pPr>
            <w:r>
              <w:rPr>
                <w:rFonts w:hint="eastAsia" w:ascii="微软雅黑" w:hAnsi="微软雅黑" w:eastAsia="微软雅黑" w:cs="微软雅黑"/>
              </w:rPr>
              <w:t>3、行程中当地特色饮食安排较多，请依据自己口味食量选择，避免暴饮暴食；</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rPr>
              <w:t>4、此行程为打包行程，持优惠证件当地不再做任何退费；</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172"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603" w:type="dxa"/>
            <w:gridSpan w:val="2"/>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autoSpaceDE/>
              <w:autoSpaceDN/>
              <w:bidi w:val="0"/>
              <w:adjustRightInd/>
              <w:snapToGrid w:val="0"/>
              <w:spacing w:before="7"/>
              <w:jc w:val="both"/>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4"/>
                <w:lang w:val="en-US" w:eastAsia="zh-CN" w:bidi="ar-SA"/>
              </w:rPr>
              <w:t>全程无购物（注：旅行社在产品线路中不安排购物店，但行程中途经的很多场所，如景区、酒店、餐厅、机场、火车站等内</w:t>
            </w:r>
            <w:bookmarkStart w:id="0" w:name="_GoBack"/>
            <w:bookmarkEnd w:id="0"/>
            <w:r>
              <w:rPr>
                <w:rFonts w:hint="eastAsia" w:ascii="微软雅黑" w:hAnsi="微软雅黑" w:eastAsia="微软雅黑" w:cs="微软雅黑"/>
                <w:kern w:val="2"/>
                <w:sz w:val="21"/>
                <w:szCs w:val="24"/>
                <w:lang w:val="en-US" w:eastAsia="zh-CN" w:bidi="ar-SA"/>
              </w:rPr>
              <w:t>部都设有购物性的商店，此类均不属于旅行社安排，我社对其商品质量无法担保，请慎重选择）</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823B0B" w:themeFill="accent2" w:themeFillShade="7F"/>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别</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说</w:t>
            </w:r>
            <w:r>
              <w:rPr>
                <w:rFonts w:hint="eastAsia" w:ascii="微软雅黑" w:hAnsi="微软雅黑" w:eastAsia="微软雅黑" w:cs="微软雅黑"/>
                <w:b/>
                <w:color w:val="FFFFFF"/>
                <w:sz w:val="32"/>
                <w:szCs w:val="32"/>
                <w:lang w:val="en-US" w:eastAsia="zh-CN"/>
              </w:rPr>
              <w:t xml:space="preserve"> </w:t>
            </w:r>
            <w:r>
              <w:rPr>
                <w:rFonts w:hint="eastAsia" w:ascii="微软雅黑" w:hAnsi="微软雅黑" w:eastAsia="微软雅黑" w:cs="微软雅黑"/>
                <w:b/>
                <w:color w:val="FFFFFF"/>
                <w:sz w:val="32"/>
                <w:szCs w:val="32"/>
              </w:rPr>
              <w:t>明</w:t>
            </w:r>
          </w:p>
        </w:tc>
      </w:tr>
      <w:tr>
        <w:tblPrEx>
          <w:tblBorders>
            <w:top w:val="single" w:color="823B0B" w:themeColor="accent2" w:themeShade="7F" w:sz="8" w:space="0"/>
            <w:left w:val="single" w:color="823B0B" w:themeColor="accent2" w:themeShade="7F" w:sz="8" w:space="0"/>
            <w:bottom w:val="single" w:color="823B0B" w:themeColor="accent2" w:themeShade="7F" w:sz="8" w:space="0"/>
            <w:right w:val="single" w:color="823B0B" w:themeColor="accent2" w:themeShade="7F" w:sz="8" w:space="0"/>
            <w:insideH w:val="single" w:color="823B0B" w:themeColor="accent2" w:themeShade="7F" w:sz="8" w:space="0"/>
            <w:insideV w:val="single" w:color="823B0B" w:themeColor="accent2" w:themeShade="7F" w:sz="8" w:space="0"/>
          </w:tblBorders>
          <w:tblCellMar>
            <w:top w:w="0" w:type="dxa"/>
            <w:left w:w="108" w:type="dxa"/>
            <w:bottom w:w="0" w:type="dxa"/>
            <w:right w:w="108" w:type="dxa"/>
          </w:tblCellMar>
        </w:tblPrEx>
        <w:trPr>
          <w:trHeight w:val="226" w:hRule="atLeast"/>
          <w:jc w:val="center"/>
        </w:trPr>
        <w:tc>
          <w:tcPr>
            <w:tcW w:w="10775"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1、</w:t>
            </w:r>
            <w:r>
              <w:rPr>
                <w:rFonts w:hint="eastAsia" w:ascii="微软雅黑" w:hAnsi="微软雅黑" w:eastAsia="微软雅黑" w:cs="微软雅黑"/>
                <w:b/>
                <w:bCs/>
                <w:color w:val="C0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2、</w:t>
            </w:r>
            <w:r>
              <w:rPr>
                <w:rFonts w:hint="eastAsia" w:ascii="微软雅黑" w:hAnsi="微软雅黑" w:eastAsia="微软雅黑" w:cs="微软雅黑"/>
                <w:b/>
                <w:bCs/>
                <w:color w:val="C0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8、</w:t>
            </w:r>
            <w:r>
              <w:rPr>
                <w:rFonts w:hint="eastAsia" w:ascii="微软雅黑" w:hAnsi="微软雅黑" w:eastAsia="微软雅黑" w:cs="微软雅黑"/>
                <w:b/>
                <w:bCs/>
                <w:color w:val="C0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7" w:leftChars="95" w:right="-17" w:rightChars="-8" w:hanging="18" w:hangingChars="8"/>
              <w:jc w:val="both"/>
              <w:textAlignment w:val="auto"/>
              <w:rPr>
                <w:rFonts w:hint="eastAsia" w:ascii="微软雅黑" w:hAnsi="微软雅黑" w:eastAsia="微软雅黑" w:cs="微软雅黑"/>
                <w:b/>
                <w:bCs/>
                <w:color w:val="C00000"/>
                <w:spacing w:val="6"/>
                <w:sz w:val="21"/>
                <w:szCs w:val="21"/>
              </w:rPr>
            </w:pPr>
            <w:r>
              <w:rPr>
                <w:rFonts w:hint="eastAsia" w:ascii="微软雅黑" w:hAnsi="微软雅黑" w:eastAsia="微软雅黑" w:cs="微软雅黑"/>
                <w:b/>
                <w:bCs/>
                <w:color w:val="C00000"/>
                <w:spacing w:val="6"/>
                <w:sz w:val="21"/>
                <w:szCs w:val="21"/>
                <w:lang w:val="en-US"/>
              </w:rPr>
              <w:t>9、</w:t>
            </w:r>
            <w:r>
              <w:rPr>
                <w:rFonts w:hint="eastAsia" w:ascii="微软雅黑" w:hAnsi="微软雅黑" w:eastAsia="微软雅黑" w:cs="微软雅黑"/>
                <w:b/>
                <w:bCs/>
                <w:color w:val="C0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tLeast"/>
              <w:ind w:left="215" w:leftChars="95" w:right="-17" w:rightChars="-8" w:hanging="16" w:hangingChars="8"/>
              <w:jc w:val="both"/>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tLeast"/>
              <w:ind w:left="216" w:leftChars="95" w:right="-17" w:rightChars="-8" w:hanging="17" w:hangingChars="8"/>
              <w:jc w:val="both"/>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C00000"/>
                <w:spacing w:val="6"/>
                <w:w w:val="95"/>
                <w:sz w:val="21"/>
                <w:szCs w:val="21"/>
                <w:lang w:val="en-US" w:eastAsia="zh-CN"/>
              </w:rPr>
              <w:t>17.</w:t>
            </w:r>
            <w:r>
              <w:rPr>
                <w:rFonts w:hint="eastAsia" w:ascii="微软雅黑" w:hAnsi="微软雅黑" w:eastAsia="微软雅黑" w:cs="微软雅黑"/>
                <w:b/>
                <w:color w:val="C0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C00000"/>
                <w:spacing w:val="6"/>
                <w:sz w:val="21"/>
                <w:szCs w:val="21"/>
              </w:rPr>
              <w:t>单》为准，否则不予受理。</w:t>
            </w:r>
          </w:p>
        </w:tc>
      </w:tr>
    </w:tbl>
    <w:p>
      <w:pPr>
        <w:pStyle w:val="3"/>
        <w:spacing w:before="1"/>
      </w:pPr>
    </w:p>
    <w:sectPr>
      <w:headerReference r:id="rId3" w:type="default"/>
      <w:pgSz w:w="11906" w:h="16838"/>
      <w:pgMar w:top="1440" w:right="1800" w:bottom="93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-1130935</wp:posOffset>
          </wp:positionH>
          <wp:positionV relativeFrom="margin">
            <wp:posOffset>-912495</wp:posOffset>
          </wp:positionV>
          <wp:extent cx="7574280" cy="10713085"/>
          <wp:effectExtent l="0" t="0" r="0" b="635"/>
          <wp:wrapNone/>
          <wp:docPr id="4" name="WordPictureWatermark54194" descr="E:\2022\1月\50 西安地接高华杰\诗里长安1.jpg诗里长安1"/>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诗里长安1.jpg诗里长安1"/>
                  <pic:cNvPicPr preferRelativeResize="0"/>
                </pic:nvPicPr>
                <pic:blipFill>
                  <a:blip r:embed="rId1"/>
                  <a:srcRect/>
                  <a:stretch>
                    <a:fillRect/>
                  </a:stretch>
                </pic:blipFill>
                <pic:spPr>
                  <a:xfrm>
                    <a:off x="0" y="0"/>
                    <a:ext cx="7574280" cy="1071308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4292BCD"/>
    <w:rsid w:val="061C11DC"/>
    <w:rsid w:val="075628F0"/>
    <w:rsid w:val="096A4AEE"/>
    <w:rsid w:val="0AC47DDC"/>
    <w:rsid w:val="108C77D1"/>
    <w:rsid w:val="149F1DC9"/>
    <w:rsid w:val="1766523D"/>
    <w:rsid w:val="17ED5DF9"/>
    <w:rsid w:val="21252B68"/>
    <w:rsid w:val="26051E57"/>
    <w:rsid w:val="261E6F86"/>
    <w:rsid w:val="268E3427"/>
    <w:rsid w:val="29420625"/>
    <w:rsid w:val="2966681A"/>
    <w:rsid w:val="2D4035AC"/>
    <w:rsid w:val="30FB6332"/>
    <w:rsid w:val="35841E81"/>
    <w:rsid w:val="36343134"/>
    <w:rsid w:val="36A36622"/>
    <w:rsid w:val="3AE2111C"/>
    <w:rsid w:val="416609C5"/>
    <w:rsid w:val="449F4555"/>
    <w:rsid w:val="473D53D2"/>
    <w:rsid w:val="4BBF797C"/>
    <w:rsid w:val="4C8F39C7"/>
    <w:rsid w:val="55FE4001"/>
    <w:rsid w:val="5826797E"/>
    <w:rsid w:val="5DD11BFE"/>
    <w:rsid w:val="5E500164"/>
    <w:rsid w:val="5ED30E8D"/>
    <w:rsid w:val="604526EC"/>
    <w:rsid w:val="641F3D36"/>
    <w:rsid w:val="66942AED"/>
    <w:rsid w:val="68F171D5"/>
    <w:rsid w:val="6EBB6DA6"/>
    <w:rsid w:val="77B97536"/>
    <w:rsid w:val="79BB5225"/>
    <w:rsid w:val="79EE0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4203</Words>
  <Characters>4303</Characters>
  <Lines>0</Lines>
  <Paragraphs>0</Paragraphs>
  <TotalTime>1</TotalTime>
  <ScaleCrop>false</ScaleCrop>
  <LinksUpToDate>false</LinksUpToDate>
  <CharactersWithSpaces>4353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2023-01-30T09:30:30Z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1D82D32E3B7D4CC1A1B366BC8D58FA79</vt:lpwstr>
  </property>
</Properties>
</file>