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1：为确保工作人员能畅通联系到您，请确保抵达后手机保持开机状态。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3E078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D105A51"/>
    <w:rsid w:val="0D127031"/>
    <w:rsid w:val="0F126BF1"/>
    <w:rsid w:val="11C83328"/>
    <w:rsid w:val="12363E7C"/>
    <w:rsid w:val="124F100D"/>
    <w:rsid w:val="14A415E9"/>
    <w:rsid w:val="1554775E"/>
    <w:rsid w:val="182833DF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5453733"/>
    <w:rsid w:val="257457B1"/>
    <w:rsid w:val="26973477"/>
    <w:rsid w:val="27322F2C"/>
    <w:rsid w:val="289509AF"/>
    <w:rsid w:val="2CC23204"/>
    <w:rsid w:val="2CFA52BF"/>
    <w:rsid w:val="2D7B4F5C"/>
    <w:rsid w:val="2D7C5B11"/>
    <w:rsid w:val="2DD62C65"/>
    <w:rsid w:val="2E940B50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C41AA7"/>
    <w:rsid w:val="3E891B33"/>
    <w:rsid w:val="3F5D501F"/>
    <w:rsid w:val="3F944F42"/>
    <w:rsid w:val="411A461A"/>
    <w:rsid w:val="43236E94"/>
    <w:rsid w:val="433C7ACC"/>
    <w:rsid w:val="45321186"/>
    <w:rsid w:val="4A7E2461"/>
    <w:rsid w:val="4B973FAA"/>
    <w:rsid w:val="4C0F2222"/>
    <w:rsid w:val="508F54A4"/>
    <w:rsid w:val="52C70801"/>
    <w:rsid w:val="5ABD0A21"/>
    <w:rsid w:val="5B022F52"/>
    <w:rsid w:val="5C927958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5962</Words>
  <Characters>6119</Characters>
  <Lines>45</Lines>
  <Paragraphs>12</Paragraphs>
  <TotalTime>1</TotalTime>
  <ScaleCrop>false</ScaleCrop>
  <LinksUpToDate>false</LinksUpToDate>
  <CharactersWithSpaces>6304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2026-04-02T10:28:43Z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45D733403B194690B4FA3C8C4008CEA8_13</vt:lpwstr>
  </property>
  <property fmtid="{D5CDD505-2E9C-101B-9397-08002B2CF9AE}" pid="4" name="KSOTemplateDocerSaveRecord">
    <vt:lpwstr>eyJoZGlkIjoiNTZhMGQ3OTI5ODVmYmUyYjc2YjVlNzU0YjZhZGY3YzEiLCJ1c2VySWQiOiIyNzA2MDQ4NSJ9</vt:lpwstr>
  </property>
</Properties>
</file>