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857" w:hanging="1799" w:hangingChars="857"/>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-1167765</wp:posOffset>
            </wp:positionH>
            <wp:positionV relativeFrom="paragraph">
              <wp:posOffset>-914400</wp:posOffset>
            </wp:positionV>
            <wp:extent cx="7586345" cy="10713720"/>
            <wp:effectExtent l="0" t="0" r="0" b="0"/>
            <wp:wrapTight wrapText="bothSides">
              <wp:wrapPolygon>
                <wp:start x="0" y="0"/>
                <wp:lineTo x="0" y="21569"/>
                <wp:lineTo x="21566" y="21569"/>
                <wp:lineTo x="21566" y="0"/>
                <wp:lineTo x="0" y="0"/>
              </wp:wrapPolygon>
            </wp:wrapTight>
            <wp:docPr id="1" name="图片 1" descr="C:\Users\Administrator\Desktop\华山论剑首页图.jpg华山论剑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华山论剑首页图.jpg华山论剑首页图"/>
                    <pic:cNvPicPr>
                      <a:picLocks noChangeAspect="1"/>
                    </pic:cNvPicPr>
                  </pic:nvPicPr>
                  <pic:blipFill>
                    <a:blip r:embed="rId5"/>
                    <a:srcRect/>
                    <a:stretch>
                      <a:fillRect/>
                    </a:stretch>
                  </pic:blipFill>
                  <pic:spPr>
                    <a:xfrm>
                      <a:off x="0" y="0"/>
                      <a:ext cx="7586345" cy="107137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-898525</wp:posOffset>
            </wp:positionV>
            <wp:extent cx="7562215" cy="10692130"/>
            <wp:effectExtent l="0" t="0" r="635" b="13970"/>
            <wp:wrapSquare wrapText="bothSides"/>
            <wp:docPr id="7" name="图片 7"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飞越华山.jpg飞越华山"/>
                    <pic:cNvPicPr>
                      <a:picLocks noChangeAspect="1"/>
                    </pic:cNvPicPr>
                  </pic:nvPicPr>
                  <pic:blipFill>
                    <a:blip r:embed="rId6"/>
                    <a:srcRect/>
                    <a:stretch>
                      <a:fillRect/>
                    </a:stretch>
                  </pic:blipFill>
                  <pic:spPr>
                    <a:xfrm>
                      <a:off x="0" y="0"/>
                      <a:ext cx="7562215" cy="10692130"/>
                    </a:xfrm>
                    <a:prstGeom prst="rect">
                      <a:avLst/>
                    </a:prstGeom>
                  </pic:spPr>
                </pic:pic>
              </a:graphicData>
            </a:graphic>
          </wp:anchor>
        </w:drawing>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-1093470</wp:posOffset>
            </wp:positionH>
            <wp:positionV relativeFrom="paragraph">
              <wp:posOffset>-969010</wp:posOffset>
            </wp:positionV>
            <wp:extent cx="7588885" cy="10735945"/>
            <wp:effectExtent l="0" t="0" r="12065" b="8255"/>
            <wp:wrapSquare wrapText="bothSides"/>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7588885" cy="10735945"/>
                    </a:xfrm>
                    <a:prstGeom prst="rect">
                      <a:avLst/>
                    </a:prstGeom>
                  </pic:spPr>
                </pic:pic>
              </a:graphicData>
            </a:graphic>
          </wp:anchor>
        </w:drawing>
      </w:r>
    </w:p>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实</w:t>
            </w:r>
            <w:r>
              <w:rPr>
                <w:rFonts w:hint="eastAsia" w:ascii="微软雅黑" w:hAnsi="微软雅黑" w:eastAsia="微软雅黑" w:cs="微软雅黑"/>
                <w:b w:val="0"/>
                <w:bCs w:val="0"/>
                <w:i w:val="0"/>
                <w:iCs w:val="0"/>
                <w:color w:val="000000"/>
                <w:kern w:val="0"/>
                <w:sz w:val="24"/>
                <w:szCs w:val="24"/>
                <w:u w:val="none"/>
                <w:lang w:val="en-US" w:eastAsia="zh-CN" w:bidi="ar"/>
              </w:rPr>
              <w:t>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sz w:val="24"/>
                <w:szCs w:val="24"/>
                <w:lang w:eastAsia="zh-CN"/>
              </w:rPr>
              <w:t>兵马俑华清宫</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全程无忧旅程，游玩只是开始，体验更在途中…</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3D巨幕电影或3D环幕电影</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大慈恩寺-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大雁塔-</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钟鼓楼广场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-回民街</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兵马俑--华清池--大唐不夜城--3D或环幕电影</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jc w:val="left"/>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w:t>
                  </w:r>
                  <w:r>
                    <w:rPr>
                      <w:rFonts w:hint="eastAsia" w:ascii="微软雅黑" w:hAnsi="微软雅黑" w:eastAsia="微软雅黑" w:cs="微软雅黑"/>
                      <w:color w:val="000000" w:themeColor="text1"/>
                      <w:sz w:val="24"/>
                      <w:szCs w:val="24"/>
                      <w:lang w:eastAsia="zh-CN"/>
                      <w14:textFill>
                        <w14:solidFill>
                          <w14:schemeClr w14:val="tx1"/>
                        </w14:solidFill>
                      </w14:textFill>
                    </w:rPr>
                    <w:t>观看</w:t>
                  </w:r>
                  <w:r>
                    <w:rPr>
                      <w:rFonts w:hint="eastAsia" w:ascii="微软雅黑" w:hAnsi="微软雅黑" w:eastAsia="微软雅黑" w:cs="微软雅黑"/>
                      <w:color w:val="000000" w:themeColor="text1"/>
                      <w:sz w:val="24"/>
                      <w:szCs w:val="24"/>
                      <w14:textFill>
                        <w14:solidFill>
                          <w14:schemeClr w14:val="tx1"/>
                        </w14:solidFill>
                      </w14:textFill>
                    </w:rPr>
                    <w:t>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b/>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21"/>
                      <w:szCs w:val="21"/>
                      <w:lang w:eastAsia="zh-CN"/>
                    </w:rPr>
                    <w:t>参考</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w:t>
                  </w:r>
                  <w:r>
                    <w:rPr>
                      <w:rFonts w:hint="eastAsia" w:ascii="微软雅黑" w:hAnsi="微软雅黑" w:eastAsia="微软雅黑" w:cs="微软雅黑"/>
                      <w:sz w:val="21"/>
                      <w:szCs w:val="21"/>
                      <w:lang w:eastAsia="zh-CN"/>
                    </w:rPr>
                    <w:t>使用</w:t>
                  </w:r>
                  <w:r>
                    <w:rPr>
                      <w:rFonts w:hint="eastAsia" w:ascii="微软雅黑" w:hAnsi="微软雅黑" w:eastAsia="微软雅黑" w:cs="微软雅黑"/>
                      <w:sz w:val="21"/>
                      <w:szCs w:val="21"/>
                    </w:rPr>
                    <w:t>，尊重景区规定做文明旅游人，紧跟导游步伐聆听历史的变革，不虚此行！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华山-飞越华山-大唐不夜城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9"/>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sz w:val="21"/>
                      <w:szCs w:val="21"/>
                      <w:lang w:val="en-US" w:eastAsia="zh-CN"/>
                    </w:rPr>
                    <w:t>武侠光影实景剧飞越华山，赠送登山手套，赠送祈福带，</w:t>
                  </w:r>
                </w:p>
                <w:p>
                  <w:pPr>
                    <w:keepNext w:val="0"/>
                    <w:keepLines w:val="0"/>
                    <w:pageBreakBefore w:val="0"/>
                    <w:widowControl w:val="0"/>
                    <w:kinsoku/>
                    <w:wordWrap/>
                    <w:overflowPunct/>
                    <w:topLinePunct w:val="0"/>
                    <w:bidi w:val="0"/>
                    <w:adjustRightInd w:val="0"/>
                    <w:snapToGrid w:val="0"/>
                    <w:spacing w:after="0" w:line="360" w:lineRule="exact"/>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sz w:val="21"/>
                      <w:szCs w:val="21"/>
                      <w:lang w:val="en-US" w:eastAsia="zh-CN"/>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sz w:val="21"/>
                      <w:szCs w:val="21"/>
                      <w:lang w:val="en-US" w:eastAsia="zh-CN"/>
                    </w:rPr>
                    <w:t>淡季：索道80元/人，进山车40元/人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sz w:val="21"/>
                      <w:szCs w:val="21"/>
                      <w:lang w:val="en-US" w:eastAsia="zh-CN"/>
                    </w:rPr>
                    <w:t>淡季：索道240元/人，进山车80元/人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themeColor="text1"/>
                      <w:sz w:val="24"/>
                      <w:szCs w:val="24"/>
                      <w14:textFill>
                        <w14:solidFill>
                          <w14:schemeClr w14:val="tx1"/>
                        </w14:solidFill>
                      </w14:textFill>
                    </w:rPr>
                    <w:t>早餐后</w:t>
                  </w:r>
                  <w:r>
                    <w:rPr>
                      <w:rFonts w:hint="eastAsia" w:ascii="微软雅黑" w:hAnsi="微软雅黑" w:eastAsia="微软雅黑" w:cs="微软雅黑"/>
                      <w:color w:val="000000" w:themeColor="text1"/>
                      <w:sz w:val="24"/>
                      <w:szCs w:val="24"/>
                      <w:lang w:eastAsia="zh-CN"/>
                      <w14:textFill>
                        <w14:solidFill>
                          <w14:schemeClr w14:val="tx1"/>
                        </w14:solidFill>
                      </w14:textFill>
                    </w:rPr>
                    <w:t>游览：</w:t>
                  </w:r>
                  <w:r>
                    <w:rPr>
                      <w:rFonts w:hint="eastAsia" w:ascii="微软雅黑" w:hAnsi="微软雅黑" w:eastAsia="微软雅黑" w:cs="微软雅黑"/>
                      <w:color w:val="000000" w:themeColor="text1"/>
                      <w:sz w:val="24"/>
                      <w:szCs w:val="24"/>
                      <w14:textFill>
                        <w14:solidFill>
                          <w14:schemeClr w14:val="tx1"/>
                        </w14:solidFill>
                      </w14:textFill>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color w:val="000000" w:themeColor="text1"/>
                      <w:sz w:val="24"/>
                      <w:szCs w:val="24"/>
                      <w14:textFill>
                        <w14:solidFill>
                          <w14:schemeClr w14:val="tx1"/>
                        </w14:solidFill>
                      </w14:textFill>
                    </w:rPr>
                    <w:t>（约2小时，），拂尘净心，守望长安1300余年的大雁塔就坐落于此（登塔自理30元/人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期间鉴赏—【玄奘法师塑像】</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寻觅当年取经路上的奇幻故事，远观唐玄奘法师译经所在地—大雁塔</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抵达回民小吃仿古一条街--</w:t>
                  </w:r>
                  <w:r>
                    <w:rPr>
                      <w:rFonts w:hint="eastAsia" w:ascii="微软雅黑" w:hAnsi="微软雅黑" w:eastAsia="微软雅黑" w:cs="微软雅黑"/>
                      <w:b/>
                      <w:bCs/>
                      <w:color w:val="FF0000"/>
                      <w:sz w:val="24"/>
                      <w:szCs w:val="24"/>
                    </w:rPr>
                    <w:t>【回民街】</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游览西安市中心地标—</w:t>
                  </w:r>
                  <w:r>
                    <w:rPr>
                      <w:rFonts w:hint="eastAsia" w:ascii="微软雅黑" w:hAnsi="微软雅黑" w:eastAsia="微软雅黑" w:cs="微软雅黑"/>
                      <w:b/>
                      <w:bCs/>
                      <w:color w:val="FF0000"/>
                      <w:sz w:val="24"/>
                      <w:szCs w:val="24"/>
                    </w:rPr>
                    <w:t>【钟鼓楼广场】</w:t>
                  </w:r>
                  <w:r>
                    <w:rPr>
                      <w:rFonts w:hint="eastAsia" w:ascii="微软雅黑" w:hAnsi="微软雅黑" w:eastAsia="微软雅黑" w:cs="微软雅黑"/>
                      <w:color w:val="000000" w:themeColor="text1"/>
                      <w:sz w:val="24"/>
                      <w:szCs w:val="24"/>
                      <w14:textFill>
                        <w14:solidFill>
                          <w14:schemeClr w14:val="tx1"/>
                        </w14:solidFill>
                      </w14:textFill>
                    </w:rPr>
                    <w:t>，感受“晨钟暮鼓”；漫步于最具西北少数民族特色的—【回民坊小吃步行街】，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17612C"/>
                      <w:sz w:val="24"/>
                      <w:szCs w:val="24"/>
                      <w:lang w:val="en-US" w:eastAsia="zh-CN"/>
                    </w:rPr>
                  </w:pPr>
                  <w:r>
                    <w:rPr>
                      <w:rFonts w:hint="eastAsia" w:ascii="微软雅黑" w:hAnsi="微软雅黑" w:eastAsia="微软雅黑" w:cs="微软雅黑"/>
                      <w:color w:val="17612C"/>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drawing>
                      <wp:anchor distT="0" distB="0" distL="114300" distR="114300" simplePos="0" relativeHeight="251663360" behindDoc="0" locked="0" layoutInCell="1" allowOverlap="1">
                        <wp:simplePos x="0" y="0"/>
                        <wp:positionH relativeFrom="column">
                          <wp:posOffset>-27305</wp:posOffset>
                        </wp:positionH>
                        <wp:positionV relativeFrom="paragraph">
                          <wp:posOffset>412115</wp:posOffset>
                        </wp:positionV>
                        <wp:extent cx="6628765" cy="1325880"/>
                        <wp:effectExtent l="0" t="0" r="0" b="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0"/>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参观完毕后，送站返程！</w:t>
                  </w:r>
                  <w:bookmarkStart w:id="0" w:name="_GoBack"/>
                  <w:bookmarkEnd w:id="0"/>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en-US" w:eastAsia="zh-CN" w:bidi="zh-CN"/>
              </w:rPr>
              <w:t>② 全程正规营运手续空调旅游车（根据人数用车，保证每人（含婴儿）一个正座）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用餐</w:t>
            </w:r>
          </w:p>
        </w:tc>
        <w:tc>
          <w:tcPr>
            <w:tcW w:w="9154" w:type="dxa"/>
            <w:gridSpan w:val="2"/>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en-US" w:eastAsia="zh-CN" w:bidi="zh-CN"/>
              </w:rPr>
              <w:t>全程3早餐2正餐（正餐十人一桌、八菜一汤，包含1个特色餐1个能量包、不用餐者餐费不退）</w:t>
            </w:r>
            <w:r>
              <w:rPr>
                <w:rFonts w:hint="eastAsia" w:ascii="微软雅黑" w:hAnsi="微软雅黑" w:eastAsia="微软雅黑" w:cs="微软雅黑"/>
                <w:spacing w:val="-10"/>
                <w:sz w:val="22"/>
                <w:szCs w:val="22"/>
                <w:lang w:val="en-US"/>
              </w:rPr>
              <w:t xml:space="preserve"> </w:t>
            </w:r>
            <w:r>
              <w:rPr>
                <w:rFonts w:hint="eastAsia" w:ascii="微软雅黑" w:hAnsi="微软雅黑" w:eastAsia="微软雅黑" w:cs="微软雅黑"/>
                <w:color w:val="0000FF"/>
                <w:kern w:val="0"/>
                <w:sz w:val="22"/>
                <w:szCs w:val="22"/>
                <w:lang w:val="en-US" w:eastAsia="zh-CN" w:bidi="zh-CN"/>
              </w:rPr>
              <w:t>（特色餐如临时无法安排则改为同标准桌餐）</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60" w:hangingChars="300"/>
              <w:jc w:val="both"/>
              <w:textAlignment w:val="auto"/>
              <w:rPr>
                <w:rFonts w:hint="default"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舒适：君华酒店、锦天商务酒店、华泰酒店、巴蜀酒店、骏怡酒店、汉庭酒店、如家酒店、乐薇思酒店、怡莱酒店、卡森酒店、V1酒店、德正酒店、如意酒店、润佳酒店、仟佰度、高阁商务或同级</w:t>
            </w:r>
          </w:p>
          <w:p>
            <w:pPr>
              <w:pStyle w:val="3"/>
              <w:keepNext w:val="0"/>
              <w:keepLines w:val="0"/>
              <w:pageBreakBefore w:val="0"/>
              <w:widowControl w:val="0"/>
              <w:kinsoku/>
              <w:wordWrap/>
              <w:overflowPunct/>
              <w:topLinePunct w:val="0"/>
              <w:bidi w:val="0"/>
              <w:adjustRightInd/>
              <w:snapToGrid/>
              <w:spacing w:before="7" w:line="0" w:lineRule="atLeast"/>
              <w:ind w:left="630" w:hanging="660" w:hangingChars="300"/>
              <w:jc w:val="both"/>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轻奢：新西北大酒店、星程酒店、H酒店、锦江尚品、百事特威酒店、民幸精品酒店、气象宾馆、怡景假日酒店、汉邦系列酒店、希岸酒店、四季玉兰、沣华国际、西岳大酒店、民幸、景玉和悦、百事特威或同级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bidi="zh-CN"/>
              </w:rPr>
            </w:pPr>
            <w:r>
              <w:rPr>
                <w:rFonts w:hint="eastAsia" w:ascii="微软雅黑" w:hAnsi="微软雅黑" w:eastAsia="微软雅黑" w:cs="微软雅黑"/>
                <w:b/>
                <w:bCs/>
                <w:sz w:val="24"/>
                <w:szCs w:val="24"/>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color w:val="auto"/>
                <w:kern w:val="0"/>
                <w:sz w:val="22"/>
                <w:szCs w:val="22"/>
                <w:lang w:val="zh-CN" w:eastAsia="zh-CN" w:bidi="zh-CN"/>
              </w:rPr>
            </w:pPr>
            <w:r>
              <w:rPr>
                <w:rFonts w:hint="eastAsia" w:ascii="微软雅黑" w:hAnsi="微软雅黑" w:eastAsia="微软雅黑" w:cs="微软雅黑"/>
                <w:color w:val="auto"/>
                <w:kern w:val="0"/>
                <w:sz w:val="22"/>
                <w:szCs w:val="22"/>
                <w:lang w:val="en-US" w:eastAsia="zh-CN" w:bidi="zh-CN"/>
              </w:rPr>
              <w:t>只含首道景点大门票，景区配套设施请自理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4"/>
                <w:szCs w:val="24"/>
                <w:lang w:val="en-US"/>
              </w:rPr>
              <w:t>导服</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优秀持证导游分段服务，接送站无导游。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sz w:val="24"/>
                <w:szCs w:val="24"/>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4"/>
                <w:szCs w:val="24"/>
                <w:lang w:val="en-US" w:eastAsia="zh-CN" w:bidi="zh-CN"/>
              </w:rPr>
            </w:pPr>
            <w:r>
              <w:rPr>
                <w:rFonts w:hint="eastAsia" w:ascii="微软雅黑" w:hAnsi="微软雅黑" w:eastAsia="微软雅黑" w:cs="微软雅黑"/>
                <w:b/>
                <w:bCs/>
                <w:sz w:val="24"/>
                <w:szCs w:val="24"/>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pacing w:val="-10"/>
                <w:sz w:val="22"/>
                <w:szCs w:val="22"/>
                <w:lang w:val="en-US" w:eastAsia="zh-CN" w:bidi="zh-CN"/>
              </w:rPr>
            </w:pPr>
            <w:r>
              <w:rPr>
                <w:rFonts w:hint="eastAsia" w:ascii="微软雅黑" w:hAnsi="微软雅黑" w:eastAsia="微软雅黑" w:cs="微软雅黑"/>
                <w:color w:val="auto"/>
                <w:kern w:val="0"/>
                <w:sz w:val="22"/>
                <w:szCs w:val="22"/>
                <w:lang w:val="en-US" w:eastAsia="zh-CN" w:bidi="zh-CN"/>
              </w:rPr>
              <w:t>4、此行程为打包行程，持优惠证件当地不再做任何退费；</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微软雅黑" w:hAnsi="微软雅黑" w:eastAsia="微软雅黑" w:cs="微软雅黑"/>
                <w:b/>
                <w:bCs/>
                <w:sz w:val="24"/>
                <w:szCs w:val="24"/>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val="en-US" w:eastAsia="zh-CN" w:bidi="zh-CN"/>
              </w:rPr>
            </w:pPr>
            <w:r>
              <w:rPr>
                <w:rFonts w:hint="eastAsia" w:ascii="微软雅黑" w:hAnsi="微软雅黑" w:eastAsia="微软雅黑" w:cs="微软雅黑"/>
                <w:b/>
                <w:bCs/>
                <w:sz w:val="24"/>
                <w:szCs w:val="24"/>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-913130</wp:posOffset>
          </wp:positionV>
          <wp:extent cx="7575550" cy="10713720"/>
          <wp:effectExtent l="0" t="0" r="13970" b="0"/>
          <wp:wrapNone/>
          <wp:docPr id="4" name="WordPictureWatermark54194" descr="E:\2022\1月\50 西安地接高华杰\华山论剑.jpg华山论剑"/>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华山论剑.jpg华山论剑"/>
                  <pic:cNvPicPr preferRelativeResize="0"/>
                </pic:nvPicPr>
                <pic:blipFill>
                  <a:blip r:embed="rId1"/>
                  <a:srcRect/>
                  <a:stretch>
                    <a:fillRect/>
                  </a:stretch>
                </pic:blipFill>
                <pic:spPr>
                  <a:xfrm>
                    <a:off x="0" y="0"/>
                    <a:ext cx="7575550"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1A71FD9"/>
    <w:rsid w:val="03450A06"/>
    <w:rsid w:val="03E00BCC"/>
    <w:rsid w:val="061C11DC"/>
    <w:rsid w:val="06AA0128"/>
    <w:rsid w:val="0D102F3C"/>
    <w:rsid w:val="108C77D1"/>
    <w:rsid w:val="10AF02E9"/>
    <w:rsid w:val="10F92125"/>
    <w:rsid w:val="110D5DD8"/>
    <w:rsid w:val="11CC3FA9"/>
    <w:rsid w:val="18271330"/>
    <w:rsid w:val="194A72DC"/>
    <w:rsid w:val="1D7D7DA7"/>
    <w:rsid w:val="20717F2A"/>
    <w:rsid w:val="20A565AD"/>
    <w:rsid w:val="235A4CA6"/>
    <w:rsid w:val="238342D1"/>
    <w:rsid w:val="247052C5"/>
    <w:rsid w:val="28E374EB"/>
    <w:rsid w:val="28EA3250"/>
    <w:rsid w:val="309F26DC"/>
    <w:rsid w:val="30FB6332"/>
    <w:rsid w:val="33A37FA3"/>
    <w:rsid w:val="35146D08"/>
    <w:rsid w:val="35841E81"/>
    <w:rsid w:val="36A36622"/>
    <w:rsid w:val="39954B7B"/>
    <w:rsid w:val="39B4322D"/>
    <w:rsid w:val="3A086449"/>
    <w:rsid w:val="3FCF0136"/>
    <w:rsid w:val="416609C5"/>
    <w:rsid w:val="419C7A7D"/>
    <w:rsid w:val="480E1452"/>
    <w:rsid w:val="4C0875E3"/>
    <w:rsid w:val="4C431ECB"/>
    <w:rsid w:val="52C25386"/>
    <w:rsid w:val="57E44562"/>
    <w:rsid w:val="5E500164"/>
    <w:rsid w:val="5E6501CE"/>
    <w:rsid w:val="5F803B41"/>
    <w:rsid w:val="635330F2"/>
    <w:rsid w:val="66D700E2"/>
    <w:rsid w:val="6A6B28C1"/>
    <w:rsid w:val="6EBB6121"/>
    <w:rsid w:val="6EEC2E69"/>
    <w:rsid w:val="74130252"/>
    <w:rsid w:val="761B1A6D"/>
    <w:rsid w:val="768A287E"/>
    <w:rsid w:val="76F07650"/>
    <w:rsid w:val="77380B72"/>
    <w:rsid w:val="7A3A1A31"/>
    <w:rsid w:val="7AFB559C"/>
    <w:rsid w:val="7BFB52F0"/>
    <w:rsid w:val="7E0B0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5030</Words>
  <Characters>5152</Characters>
  <Lines>0</Lines>
  <Paragraphs>0</Paragraphs>
  <TotalTime>0</TotalTime>
  <ScaleCrop>false</ScaleCrop>
  <LinksUpToDate>false</LinksUpToDate>
  <CharactersWithSpaces>5259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2023-02-24T07:23:12Z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EEC01BB292664CC181BD300D25116316</vt:lpwstr>
  </property>
</Properties>
</file>