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116" w:type="dxa"/>
        <w:tblBorders>
          <w:top w:val="single" w:color="006FC0" w:sz="4" w:space="0"/>
          <w:left w:val="single" w:color="006FC0" w:sz="4" w:space="0"/>
          <w:bottom w:val="single" w:color="006FC0" w:sz="4" w:space="0"/>
          <w:right w:val="single" w:color="006FC0" w:sz="4" w:space="0"/>
          <w:insideH w:val="single" w:color="006FC0" w:sz="4" w:space="0"/>
          <w:insideV w:val="single" w:color="006FC0" w:sz="4" w:space="0"/>
        </w:tblBorders>
        <w:tblLayout w:type="fixed"/>
        <w:tblCellMar>
          <w:top w:w="0" w:type="dxa"/>
          <w:left w:w="0" w:type="dxa"/>
          <w:bottom w:w="0" w:type="dxa"/>
          <w:right w:w="0" w:type="dxa"/>
        </w:tblCellMar>
      </w:tblPr>
      <w:tblGrid>
        <w:gridCol w:w="1134"/>
        <w:gridCol w:w="7371"/>
        <w:gridCol w:w="851"/>
        <w:gridCol w:w="850"/>
      </w:tblGrid>
      <w:tr>
        <w:tblPrEx>
          <w:tblBorders>
            <w:top w:val="single" w:color="006FC0" w:sz="4" w:space="0"/>
            <w:left w:val="single" w:color="006FC0" w:sz="4" w:space="0"/>
            <w:bottom w:val="single" w:color="006FC0" w:sz="4" w:space="0"/>
            <w:right w:val="single" w:color="006FC0" w:sz="4" w:space="0"/>
            <w:insideH w:val="single" w:color="006FC0" w:sz="4" w:space="0"/>
            <w:insideV w:val="single" w:color="006FC0" w:sz="4" w:space="0"/>
          </w:tblBorders>
          <w:tblCellMar>
            <w:top w:w="0" w:type="dxa"/>
            <w:left w:w="0" w:type="dxa"/>
            <w:bottom w:w="0" w:type="dxa"/>
            <w:right w:w="0" w:type="dxa"/>
          </w:tblCellMar>
        </w:tblPrEx>
        <w:trPr>
          <w:trHeight w:val="628" w:hRule="atLeast"/>
        </w:trPr>
        <w:tc>
          <w:tcPr>
            <w:tcW w:w="10206" w:type="dxa"/>
            <w:gridSpan w:val="4"/>
            <w:shd w:val="clear" w:color="auto" w:fill="00AFEF"/>
          </w:tcPr>
          <w:p>
            <w:pPr>
              <w:pStyle w:val="6"/>
              <w:spacing w:before="48"/>
              <w:ind w:left="948"/>
              <w:rPr>
                <w:rFonts w:hint="eastAsia" w:ascii="微软雅黑" w:eastAsia="微软雅黑"/>
                <w:b/>
                <w:sz w:val="28"/>
              </w:rPr>
            </w:pPr>
            <w:bookmarkStart w:id="0" w:name="_GoBack"/>
            <w:bookmarkEnd w:id="0"/>
            <w:r>
              <w:rPr>
                <w:rFonts w:hint="eastAsia" w:ascii="微软雅黑" w:eastAsia="微软雅黑"/>
                <w:b/>
                <w:sz w:val="28"/>
              </w:rPr>
              <w:t>红色井冈、醉美婺源、景德镇采瓷、梦栖鄱阳湖双飞六日游</w:t>
            </w:r>
          </w:p>
        </w:tc>
      </w:tr>
      <w:tr>
        <w:tblPrEx>
          <w:tblBorders>
            <w:top w:val="single" w:color="006FC0" w:sz="4" w:space="0"/>
            <w:left w:val="single" w:color="006FC0" w:sz="4" w:space="0"/>
            <w:bottom w:val="single" w:color="006FC0" w:sz="4" w:space="0"/>
            <w:right w:val="single" w:color="006FC0" w:sz="4" w:space="0"/>
            <w:insideH w:val="single" w:color="006FC0" w:sz="4" w:space="0"/>
            <w:insideV w:val="single" w:color="006FC0" w:sz="4" w:space="0"/>
          </w:tblBorders>
          <w:tblCellMar>
            <w:top w:w="0" w:type="dxa"/>
            <w:left w:w="0" w:type="dxa"/>
            <w:bottom w:w="0" w:type="dxa"/>
            <w:right w:w="0" w:type="dxa"/>
          </w:tblCellMar>
        </w:tblPrEx>
        <w:trPr>
          <w:trHeight w:val="2825" w:hRule="atLeast"/>
        </w:trPr>
        <w:tc>
          <w:tcPr>
            <w:tcW w:w="10206" w:type="dxa"/>
            <w:gridSpan w:val="4"/>
          </w:tcPr>
          <w:p>
            <w:pPr>
              <w:pStyle w:val="6"/>
              <w:spacing w:line="303" w:lineRule="exact"/>
              <w:ind w:left="108"/>
              <w:jc w:val="both"/>
              <w:rPr>
                <w:sz w:val="24"/>
              </w:rPr>
            </w:pPr>
            <w:r>
              <w:rPr>
                <w:sz w:val="24"/>
              </w:rPr>
              <w:t>庆祝中华人民共和国建党 100 周年特别纪念特色行程</w:t>
            </w:r>
          </w:p>
          <w:p>
            <w:pPr>
              <w:pStyle w:val="6"/>
              <w:spacing w:before="7" w:line="244" w:lineRule="auto"/>
              <w:ind w:left="1308" w:right="96" w:hanging="1200"/>
              <w:jc w:val="both"/>
              <w:rPr>
                <w:b/>
                <w:sz w:val="24"/>
              </w:rPr>
            </w:pPr>
            <w:r>
              <w:rPr>
                <w:spacing w:val="-8"/>
                <w:sz w:val="24"/>
              </w:rPr>
              <w:t>特色景区：江西精华红色革命圣地--</w:t>
            </w:r>
            <w:r>
              <w:rPr>
                <w:b/>
                <w:spacing w:val="-1"/>
                <w:sz w:val="24"/>
              </w:rPr>
              <w:t xml:space="preserve">井冈山 </w:t>
            </w:r>
            <w:r>
              <w:rPr>
                <w:sz w:val="24"/>
              </w:rPr>
              <w:t>打响第一枪—</w:t>
            </w:r>
            <w:r>
              <w:rPr>
                <w:b/>
                <w:sz w:val="24"/>
              </w:rPr>
              <w:t xml:space="preserve">英雄南昌 </w:t>
            </w:r>
            <w:r>
              <w:rPr>
                <w:spacing w:val="-7"/>
                <w:sz w:val="24"/>
              </w:rPr>
              <w:t>中国最美在婺源，婺源最美</w:t>
            </w:r>
            <w:r>
              <w:rPr>
                <w:sz w:val="24"/>
              </w:rPr>
              <w:t>在—</w:t>
            </w:r>
            <w:r>
              <w:rPr>
                <w:b/>
                <w:spacing w:val="-1"/>
                <w:sz w:val="24"/>
              </w:rPr>
              <w:t xml:space="preserve">篁岭； </w:t>
            </w:r>
            <w:r>
              <w:rPr>
                <w:sz w:val="24"/>
              </w:rPr>
              <w:t>观摩世界上最古老的制瓷生产线，探索千年窑火之谜—</w:t>
            </w:r>
            <w:r>
              <w:rPr>
                <w:b/>
                <w:spacing w:val="-1"/>
                <w:sz w:val="24"/>
              </w:rPr>
              <w:t xml:space="preserve">景德镇; </w:t>
            </w:r>
            <w:r>
              <w:rPr>
                <w:sz w:val="24"/>
              </w:rPr>
              <w:t>人间仙境---</w:t>
            </w:r>
            <w:r>
              <w:rPr>
                <w:b/>
                <w:sz w:val="24"/>
              </w:rPr>
              <w:t>鄱阳湖湿地</w:t>
            </w:r>
          </w:p>
          <w:p>
            <w:pPr>
              <w:pStyle w:val="6"/>
              <w:spacing w:line="244" w:lineRule="auto"/>
              <w:ind w:left="108" w:right="5525"/>
              <w:rPr>
                <w:sz w:val="24"/>
              </w:rPr>
            </w:pPr>
            <w:r>
              <w:rPr>
                <w:sz w:val="24"/>
              </w:rPr>
              <w:t>住宿标准：全程商务</w:t>
            </w:r>
            <w:r>
              <w:rPr>
                <w:b/>
                <w:sz w:val="24"/>
              </w:rPr>
              <w:t>准四酒店</w:t>
            </w:r>
            <w:r>
              <w:rPr>
                <w:sz w:val="24"/>
              </w:rPr>
              <w:t>，舒适安心品质服务：含首道大</w:t>
            </w:r>
            <w:r>
              <w:rPr>
                <w:b/>
                <w:sz w:val="24"/>
              </w:rPr>
              <w:t>门票，</w:t>
            </w:r>
            <w:r>
              <w:rPr>
                <w:sz w:val="24"/>
              </w:rPr>
              <w:t>无任何强迫消费</w:t>
            </w:r>
          </w:p>
          <w:p>
            <w:pPr>
              <w:pStyle w:val="6"/>
              <w:spacing w:before="1"/>
              <w:ind w:left="108"/>
              <w:rPr>
                <w:sz w:val="24"/>
              </w:rPr>
            </w:pPr>
            <w:r>
              <w:rPr>
                <w:sz w:val="24"/>
              </w:rPr>
              <w:t>导游服务：全程 5 年工作经验以上专职导游服务</w:t>
            </w:r>
          </w:p>
          <w:p>
            <w:pPr>
              <w:pStyle w:val="6"/>
              <w:spacing w:before="4" w:line="310" w:lineRule="atLeast"/>
              <w:ind w:left="108" w:right="5045"/>
              <w:rPr>
                <w:sz w:val="24"/>
              </w:rPr>
            </w:pPr>
            <w:r>
              <w:rPr>
                <w:sz w:val="24"/>
              </w:rPr>
              <w:t>安全服务：全程空调旅游大巴专职司机全程服务贴心赠送：每人一份红色记忆纪念品一份</w:t>
            </w:r>
          </w:p>
        </w:tc>
      </w:tr>
      <w:tr>
        <w:tblPrEx>
          <w:tblBorders>
            <w:top w:val="single" w:color="006FC0" w:sz="4" w:space="0"/>
            <w:left w:val="single" w:color="006FC0" w:sz="4" w:space="0"/>
            <w:bottom w:val="single" w:color="006FC0" w:sz="4" w:space="0"/>
            <w:right w:val="single" w:color="006FC0" w:sz="4" w:space="0"/>
            <w:insideH w:val="single" w:color="006FC0" w:sz="4" w:space="0"/>
            <w:insideV w:val="single" w:color="006FC0" w:sz="4" w:space="0"/>
          </w:tblBorders>
          <w:tblCellMar>
            <w:top w:w="0" w:type="dxa"/>
            <w:left w:w="0" w:type="dxa"/>
            <w:bottom w:w="0" w:type="dxa"/>
            <w:right w:w="0" w:type="dxa"/>
          </w:tblCellMar>
        </w:tblPrEx>
        <w:trPr>
          <w:trHeight w:val="280" w:hRule="atLeast"/>
        </w:trPr>
        <w:tc>
          <w:tcPr>
            <w:tcW w:w="1134" w:type="dxa"/>
            <w:shd w:val="clear" w:color="auto" w:fill="00AFEF"/>
          </w:tcPr>
          <w:p>
            <w:pPr>
              <w:pStyle w:val="6"/>
              <w:spacing w:before="4" w:line="255" w:lineRule="exact"/>
              <w:ind w:left="355"/>
              <w:rPr>
                <w:b/>
                <w:sz w:val="21"/>
              </w:rPr>
            </w:pPr>
            <w:r>
              <w:rPr>
                <w:b/>
                <w:color w:val="FFFF00"/>
                <w:sz w:val="21"/>
              </w:rPr>
              <w:t>日期</w:t>
            </w:r>
          </w:p>
        </w:tc>
        <w:tc>
          <w:tcPr>
            <w:tcW w:w="7371" w:type="dxa"/>
            <w:shd w:val="clear" w:color="auto" w:fill="00AFEF"/>
          </w:tcPr>
          <w:p>
            <w:pPr>
              <w:pStyle w:val="6"/>
              <w:spacing w:before="4" w:line="255" w:lineRule="exact"/>
              <w:ind w:left="378"/>
              <w:rPr>
                <w:b/>
                <w:sz w:val="21"/>
              </w:rPr>
            </w:pPr>
            <w:r>
              <w:rPr>
                <w:b/>
                <w:color w:val="FFFF00"/>
                <w:sz w:val="21"/>
              </w:rPr>
              <w:t>行 程 内 容（以下游览先后顺序我社可根据实际情况作出合理调整！）</w:t>
            </w:r>
          </w:p>
        </w:tc>
        <w:tc>
          <w:tcPr>
            <w:tcW w:w="851" w:type="dxa"/>
            <w:shd w:val="clear" w:color="auto" w:fill="00AFEF"/>
          </w:tcPr>
          <w:p>
            <w:pPr>
              <w:pStyle w:val="6"/>
              <w:spacing w:before="4" w:line="255" w:lineRule="exact"/>
              <w:ind w:left="246" w:right="132"/>
              <w:jc w:val="center"/>
              <w:rPr>
                <w:b/>
                <w:sz w:val="21"/>
              </w:rPr>
            </w:pPr>
            <w:r>
              <w:rPr>
                <w:b/>
                <w:color w:val="FFFF00"/>
                <w:sz w:val="21"/>
              </w:rPr>
              <w:t>供餐</w:t>
            </w:r>
          </w:p>
        </w:tc>
        <w:tc>
          <w:tcPr>
            <w:tcW w:w="850" w:type="dxa"/>
            <w:shd w:val="clear" w:color="auto" w:fill="00AFEF"/>
          </w:tcPr>
          <w:p>
            <w:pPr>
              <w:pStyle w:val="6"/>
              <w:spacing w:before="4" w:line="255" w:lineRule="exact"/>
              <w:ind w:right="204"/>
              <w:jc w:val="right"/>
              <w:rPr>
                <w:b/>
                <w:sz w:val="21"/>
              </w:rPr>
            </w:pPr>
            <w:r>
              <w:rPr>
                <w:b/>
                <w:color w:val="FFFF00"/>
                <w:w w:val="95"/>
                <w:sz w:val="21"/>
              </w:rPr>
              <w:t>住宿</w:t>
            </w:r>
          </w:p>
        </w:tc>
      </w:tr>
      <w:tr>
        <w:tblPrEx>
          <w:tblBorders>
            <w:top w:val="single" w:color="006FC0" w:sz="4" w:space="0"/>
            <w:left w:val="single" w:color="006FC0" w:sz="4" w:space="0"/>
            <w:bottom w:val="single" w:color="006FC0" w:sz="4" w:space="0"/>
            <w:right w:val="single" w:color="006FC0" w:sz="4" w:space="0"/>
            <w:insideH w:val="single" w:color="006FC0" w:sz="4" w:space="0"/>
            <w:insideV w:val="single" w:color="006FC0" w:sz="4" w:space="0"/>
          </w:tblBorders>
          <w:tblCellMar>
            <w:top w:w="0" w:type="dxa"/>
            <w:left w:w="0" w:type="dxa"/>
            <w:bottom w:w="0" w:type="dxa"/>
            <w:right w:w="0" w:type="dxa"/>
          </w:tblCellMar>
        </w:tblPrEx>
        <w:trPr>
          <w:trHeight w:val="874" w:hRule="atLeast"/>
        </w:trPr>
        <w:tc>
          <w:tcPr>
            <w:tcW w:w="1134" w:type="dxa"/>
            <w:tcBorders>
              <w:bottom w:val="single" w:color="000000" w:sz="4" w:space="0"/>
            </w:tcBorders>
          </w:tcPr>
          <w:p>
            <w:pPr>
              <w:pStyle w:val="6"/>
              <w:spacing w:before="8"/>
              <w:rPr>
                <w:rFonts w:ascii="Times New Roman"/>
                <w:sz w:val="23"/>
              </w:rPr>
            </w:pPr>
          </w:p>
          <w:p>
            <w:pPr>
              <w:pStyle w:val="6"/>
              <w:ind w:right="192"/>
              <w:jc w:val="right"/>
              <w:rPr>
                <w:b/>
                <w:sz w:val="24"/>
              </w:rPr>
            </w:pPr>
            <w:r>
              <w:rPr>
                <w:b/>
                <w:w w:val="95"/>
                <w:sz w:val="24"/>
              </w:rPr>
              <w:t>第一天</w:t>
            </w:r>
          </w:p>
        </w:tc>
        <w:tc>
          <w:tcPr>
            <w:tcW w:w="7371" w:type="dxa"/>
            <w:tcBorders>
              <w:bottom w:val="single" w:color="000000" w:sz="4" w:space="0"/>
            </w:tcBorders>
          </w:tcPr>
          <w:p>
            <w:pPr>
              <w:pStyle w:val="6"/>
              <w:spacing w:before="10"/>
              <w:rPr>
                <w:rFonts w:ascii="Times New Roman"/>
                <w:sz w:val="23"/>
              </w:rPr>
            </w:pPr>
          </w:p>
          <w:p>
            <w:pPr>
              <w:pStyle w:val="6"/>
              <w:ind w:left="107"/>
              <w:rPr>
                <w:sz w:val="24"/>
              </w:rPr>
            </w:pPr>
            <w:r>
              <w:rPr>
                <w:sz w:val="24"/>
              </w:rPr>
              <w:t>集合出发江西南昌</w:t>
            </w:r>
          </w:p>
        </w:tc>
        <w:tc>
          <w:tcPr>
            <w:tcW w:w="851" w:type="dxa"/>
            <w:tcBorders>
              <w:bottom w:val="single" w:color="000000" w:sz="4" w:space="0"/>
            </w:tcBorders>
          </w:tcPr>
          <w:p>
            <w:pPr>
              <w:pStyle w:val="6"/>
              <w:spacing w:before="8"/>
              <w:rPr>
                <w:rFonts w:ascii="Times New Roman"/>
                <w:sz w:val="23"/>
              </w:rPr>
            </w:pPr>
          </w:p>
          <w:p>
            <w:pPr>
              <w:pStyle w:val="6"/>
              <w:ind w:left="126"/>
              <w:jc w:val="center"/>
              <w:rPr>
                <w:b/>
                <w:sz w:val="24"/>
              </w:rPr>
            </w:pPr>
            <w:r>
              <w:rPr>
                <w:b/>
                <w:w w:val="99"/>
                <w:sz w:val="24"/>
              </w:rPr>
              <w:t>/</w:t>
            </w:r>
          </w:p>
        </w:tc>
        <w:tc>
          <w:tcPr>
            <w:tcW w:w="850" w:type="dxa"/>
            <w:tcBorders>
              <w:bottom w:val="single" w:color="000000" w:sz="4" w:space="0"/>
            </w:tcBorders>
          </w:tcPr>
          <w:p>
            <w:pPr>
              <w:pStyle w:val="6"/>
              <w:spacing w:before="8"/>
              <w:rPr>
                <w:rFonts w:ascii="Times New Roman"/>
                <w:sz w:val="23"/>
              </w:rPr>
            </w:pPr>
          </w:p>
          <w:p>
            <w:pPr>
              <w:pStyle w:val="6"/>
              <w:ind w:left="107"/>
              <w:rPr>
                <w:b/>
                <w:sz w:val="24"/>
              </w:rPr>
            </w:pPr>
            <w:r>
              <w:rPr>
                <w:b/>
                <w:sz w:val="24"/>
              </w:rPr>
              <w:t>南昌</w:t>
            </w:r>
          </w:p>
        </w:tc>
      </w:tr>
      <w:tr>
        <w:tblPrEx>
          <w:tblBorders>
            <w:top w:val="single" w:color="006FC0" w:sz="4" w:space="0"/>
            <w:left w:val="single" w:color="006FC0" w:sz="4" w:space="0"/>
            <w:bottom w:val="single" w:color="006FC0" w:sz="4" w:space="0"/>
            <w:right w:val="single" w:color="006FC0" w:sz="4" w:space="0"/>
            <w:insideH w:val="single" w:color="006FC0" w:sz="4" w:space="0"/>
            <w:insideV w:val="single" w:color="006FC0" w:sz="4" w:space="0"/>
          </w:tblBorders>
          <w:tblCellMar>
            <w:top w:w="0" w:type="dxa"/>
            <w:left w:w="0" w:type="dxa"/>
            <w:bottom w:w="0" w:type="dxa"/>
            <w:right w:w="0" w:type="dxa"/>
          </w:tblCellMar>
        </w:tblPrEx>
        <w:trPr>
          <w:trHeight w:val="3767" w:hRule="atLeast"/>
        </w:trPr>
        <w:tc>
          <w:tcPr>
            <w:tcW w:w="1134" w:type="dxa"/>
            <w:tcBorders>
              <w:top w:val="single" w:color="000000" w:sz="4" w:space="0"/>
            </w:tcBorders>
          </w:tcPr>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spacing w:before="5"/>
              <w:rPr>
                <w:rFonts w:ascii="Times New Roman"/>
                <w:sz w:val="29"/>
              </w:rPr>
            </w:pPr>
          </w:p>
          <w:p>
            <w:pPr>
              <w:pStyle w:val="6"/>
              <w:spacing w:before="1"/>
              <w:ind w:right="194"/>
              <w:jc w:val="right"/>
              <w:rPr>
                <w:sz w:val="24"/>
              </w:rPr>
            </w:pPr>
            <w:r>
              <w:rPr>
                <w:sz w:val="24"/>
              </w:rPr>
              <w:t>第二天</w:t>
            </w:r>
          </w:p>
        </w:tc>
        <w:tc>
          <w:tcPr>
            <w:tcW w:w="7371" w:type="dxa"/>
            <w:tcBorders>
              <w:top w:val="single" w:color="000000" w:sz="4" w:space="0"/>
            </w:tcBorders>
          </w:tcPr>
          <w:p>
            <w:pPr>
              <w:pStyle w:val="6"/>
              <w:spacing w:line="244" w:lineRule="auto"/>
              <w:ind w:left="107" w:right="51"/>
              <w:jc w:val="both"/>
              <w:rPr>
                <w:sz w:val="24"/>
              </w:rPr>
            </w:pPr>
            <w:r>
              <w:rPr>
                <w:spacing w:val="-13"/>
                <w:sz w:val="24"/>
              </w:rPr>
              <w:t>赴鄱阳湖，游中国最大淡水湖---</w:t>
            </w:r>
            <w:r>
              <w:rPr>
                <w:b/>
                <w:color w:val="D50092"/>
                <w:spacing w:val="-16"/>
                <w:sz w:val="24"/>
              </w:rPr>
              <w:t xml:space="preserve">【国家 </w:t>
            </w:r>
            <w:r>
              <w:rPr>
                <w:b/>
                <w:color w:val="D50092"/>
                <w:sz w:val="24"/>
              </w:rPr>
              <w:t>5A</w:t>
            </w:r>
            <w:r>
              <w:rPr>
                <w:b/>
                <w:color w:val="D50092"/>
                <w:spacing w:val="-9"/>
                <w:sz w:val="24"/>
              </w:rPr>
              <w:t xml:space="preserve"> 鄱阳湖国家湿地公园</w:t>
            </w:r>
            <w:r>
              <w:rPr>
                <w:b/>
                <w:color w:val="D50092"/>
                <w:spacing w:val="-144"/>
                <w:sz w:val="24"/>
              </w:rPr>
              <w:t>】</w:t>
            </w:r>
            <w:r>
              <w:rPr>
                <w:b/>
                <w:color w:val="D50092"/>
                <w:sz w:val="24"/>
              </w:rPr>
              <w:t>（含游船</w:t>
            </w:r>
            <w:r>
              <w:rPr>
                <w:b/>
                <w:color w:val="D50092"/>
                <w:spacing w:val="-9"/>
                <w:sz w:val="24"/>
              </w:rPr>
              <w:t>）</w:t>
            </w:r>
            <w:r>
              <w:rPr>
                <w:spacing w:val="-6"/>
                <w:sz w:val="24"/>
              </w:rPr>
              <w:t>，乘游船深度游览鄱阳湖全貌，湖水清澈，视野广阔，让人不</w:t>
            </w:r>
            <w:r>
              <w:rPr>
                <w:spacing w:val="-20"/>
                <w:sz w:val="24"/>
              </w:rPr>
              <w:t>禁感受到“落霞与孤骛齐飞，秋水共长天一色”的意味。乘船游览【国家重点候鸟保护保育区】---候鸟聚集地“小南海”，聆听天籁般的</w:t>
            </w:r>
            <w:r>
              <w:rPr>
                <w:spacing w:val="-15"/>
                <w:sz w:val="24"/>
              </w:rPr>
              <w:t xml:space="preserve">鸟鸣，这里聚集了世界上 </w:t>
            </w:r>
            <w:r>
              <w:rPr>
                <w:sz w:val="24"/>
              </w:rPr>
              <w:t>98%</w:t>
            </w:r>
            <w:r>
              <w:rPr>
                <w:spacing w:val="-2"/>
                <w:sz w:val="24"/>
              </w:rPr>
              <w:t>的湿地珍稀候鸟种群，</w:t>
            </w:r>
            <w:r>
              <w:rPr>
                <w:spacing w:val="-14"/>
                <w:sz w:val="24"/>
              </w:rPr>
              <w:t>98%</w:t>
            </w:r>
            <w:r>
              <w:rPr>
                <w:sz w:val="24"/>
              </w:rPr>
              <w:t>的白鹤与数十</w:t>
            </w:r>
            <w:r>
              <w:rPr>
                <w:spacing w:val="-1"/>
                <w:sz w:val="24"/>
              </w:rPr>
              <w:t>万只天鹅、大雁、白鹳会相继来此越冬，繁衍生息，场景蔚为壮观。</w:t>
            </w:r>
            <w:r>
              <w:rPr>
                <w:spacing w:val="-5"/>
                <w:sz w:val="24"/>
              </w:rPr>
              <w:t>游览龟脑山、饶娥女神、龙吼山等，远眺滴水观音像，生态渔村竹溪</w:t>
            </w:r>
            <w:r>
              <w:rPr>
                <w:spacing w:val="-6"/>
                <w:sz w:val="24"/>
              </w:rPr>
              <w:t xml:space="preserve">三岛、斗笠峰，它由庙咀、腰里、大宗三个岛屿组成，无蚊村庙咀， </w:t>
            </w:r>
            <w:r>
              <w:rPr>
                <w:spacing w:val="-5"/>
                <w:sz w:val="24"/>
              </w:rPr>
              <w:t>一个非常有灵气的地方，赴被誉为“候鸟天堂”、“人间仙境”的观</w:t>
            </w:r>
            <w:r>
              <w:rPr>
                <w:spacing w:val="-8"/>
                <w:sz w:val="24"/>
              </w:rPr>
              <w:t>鸟首选地——白沙洲。这是一片存有许许多多原生态的地域。这是一</w:t>
            </w:r>
            <w:r>
              <w:rPr>
                <w:spacing w:val="-11"/>
                <w:sz w:val="24"/>
              </w:rPr>
              <w:t>片远离都市尘嚣的自然纯净世界。这也是一座集自然和赣鄱文化于一</w:t>
            </w:r>
          </w:p>
          <w:p>
            <w:pPr>
              <w:pStyle w:val="6"/>
              <w:spacing w:line="298" w:lineRule="exact"/>
              <w:ind w:left="107"/>
              <w:rPr>
                <w:sz w:val="24"/>
              </w:rPr>
            </w:pPr>
            <w:r>
              <w:rPr>
                <w:sz w:val="24"/>
              </w:rPr>
              <w:t>身的大自然生态旅游区。</w:t>
            </w:r>
          </w:p>
        </w:tc>
        <w:tc>
          <w:tcPr>
            <w:tcW w:w="851" w:type="dxa"/>
            <w:tcBorders>
              <w:top w:val="single" w:color="000000" w:sz="4" w:space="0"/>
            </w:tcBorders>
          </w:tcPr>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spacing w:before="2"/>
              <w:rPr>
                <w:rFonts w:ascii="Times New Roman"/>
                <w:sz w:val="31"/>
              </w:rPr>
            </w:pPr>
          </w:p>
          <w:p>
            <w:pPr>
              <w:pStyle w:val="6"/>
              <w:spacing w:line="218" w:lineRule="auto"/>
              <w:ind w:left="106" w:right="492"/>
              <w:jc w:val="both"/>
              <w:rPr>
                <w:b/>
                <w:sz w:val="24"/>
              </w:rPr>
            </w:pPr>
            <w:r>
              <w:rPr>
                <w:b/>
                <w:sz w:val="24"/>
              </w:rPr>
              <w:t>早中晚</w:t>
            </w:r>
          </w:p>
        </w:tc>
        <w:tc>
          <w:tcPr>
            <w:tcW w:w="850" w:type="dxa"/>
            <w:tcBorders>
              <w:top w:val="single" w:color="000000" w:sz="4" w:space="0"/>
            </w:tcBorders>
          </w:tcPr>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spacing w:before="2"/>
              <w:rPr>
                <w:rFonts w:ascii="Times New Roman"/>
                <w:sz w:val="31"/>
              </w:rPr>
            </w:pPr>
          </w:p>
          <w:p>
            <w:pPr>
              <w:pStyle w:val="6"/>
              <w:spacing w:line="218" w:lineRule="auto"/>
              <w:ind w:left="107" w:right="130"/>
              <w:rPr>
                <w:b/>
                <w:sz w:val="24"/>
              </w:rPr>
            </w:pPr>
            <w:r>
              <w:rPr>
                <w:b/>
                <w:sz w:val="24"/>
              </w:rPr>
              <w:t>婺源/ 景德镇</w:t>
            </w:r>
          </w:p>
        </w:tc>
      </w:tr>
      <w:tr>
        <w:tblPrEx>
          <w:tblBorders>
            <w:top w:val="single" w:color="006FC0" w:sz="4" w:space="0"/>
            <w:left w:val="single" w:color="006FC0" w:sz="4" w:space="0"/>
            <w:bottom w:val="single" w:color="006FC0" w:sz="4" w:space="0"/>
            <w:right w:val="single" w:color="006FC0" w:sz="4" w:space="0"/>
            <w:insideH w:val="single" w:color="006FC0" w:sz="4" w:space="0"/>
            <w:insideV w:val="single" w:color="006FC0" w:sz="4" w:space="0"/>
          </w:tblBorders>
          <w:tblCellMar>
            <w:top w:w="0" w:type="dxa"/>
            <w:left w:w="0" w:type="dxa"/>
            <w:bottom w:w="0" w:type="dxa"/>
            <w:right w:w="0" w:type="dxa"/>
          </w:tblCellMar>
        </w:tblPrEx>
        <w:trPr>
          <w:trHeight w:val="6278" w:hRule="atLeast"/>
        </w:trPr>
        <w:tc>
          <w:tcPr>
            <w:tcW w:w="1134" w:type="dxa"/>
          </w:tcPr>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spacing w:before="11"/>
              <w:rPr>
                <w:rFonts w:ascii="Times New Roman"/>
                <w:sz w:val="21"/>
              </w:rPr>
            </w:pPr>
          </w:p>
          <w:p>
            <w:pPr>
              <w:pStyle w:val="6"/>
              <w:ind w:left="108"/>
              <w:rPr>
                <w:sz w:val="24"/>
              </w:rPr>
            </w:pPr>
            <w:r>
              <w:rPr>
                <w:sz w:val="24"/>
              </w:rPr>
              <w:t>第三天</w:t>
            </w:r>
          </w:p>
        </w:tc>
        <w:tc>
          <w:tcPr>
            <w:tcW w:w="7371" w:type="dxa"/>
          </w:tcPr>
          <w:p>
            <w:pPr>
              <w:pStyle w:val="6"/>
              <w:spacing w:line="244" w:lineRule="auto"/>
              <w:ind w:left="107" w:right="-29"/>
              <w:rPr>
                <w:sz w:val="24"/>
              </w:rPr>
            </w:pPr>
            <w:r>
              <w:rPr>
                <w:spacing w:val="-1"/>
                <w:sz w:val="24"/>
              </w:rPr>
              <w:t>乘车前往婺源重点游览</w:t>
            </w:r>
            <w:r>
              <w:rPr>
                <w:b/>
                <w:color w:val="FF0000"/>
                <w:sz w:val="24"/>
              </w:rPr>
              <w:t>【梯田云岭</w:t>
            </w:r>
            <w:r>
              <w:rPr>
                <w:b/>
                <w:color w:val="FF0000"/>
                <w:spacing w:val="-10"/>
                <w:sz w:val="24"/>
              </w:rPr>
              <w:t>·</w:t>
            </w:r>
            <w:r>
              <w:rPr>
                <w:b/>
                <w:color w:val="FF0000"/>
                <w:spacing w:val="-4"/>
                <w:sz w:val="24"/>
              </w:rPr>
              <w:t>篁岭】</w:t>
            </w:r>
            <w:r>
              <w:rPr>
                <w:spacing w:val="-4"/>
                <w:sz w:val="24"/>
              </w:rPr>
              <w:t>梯田覆叠，白云环绕。被称为“梯云人家”。自费乘观光索道 上山</w:t>
            </w:r>
            <w:r>
              <w:rPr>
                <w:color w:val="FF0000"/>
                <w:spacing w:val="-4"/>
                <w:sz w:val="24"/>
              </w:rPr>
              <w:t>（往返索道 120 元/人自</w:t>
            </w:r>
            <w:r>
              <w:rPr>
                <w:color w:val="FF0000"/>
                <w:spacing w:val="-8"/>
                <w:sz w:val="24"/>
              </w:rPr>
              <w:t>理；赠送门票；不去不退；如遇索道检修或停运，则乘景区观光车上</w:t>
            </w:r>
            <w:r>
              <w:rPr>
                <w:color w:val="FF0000"/>
                <w:spacing w:val="-10"/>
                <w:sz w:val="24"/>
              </w:rPr>
              <w:t>下，敬请客人谅解</w:t>
            </w:r>
            <w:r>
              <w:rPr>
                <w:color w:val="FF0000"/>
                <w:spacing w:val="-113"/>
                <w:sz w:val="24"/>
              </w:rPr>
              <w:t>）</w:t>
            </w:r>
            <w:r>
              <w:rPr>
                <w:spacing w:val="-10"/>
                <w:sz w:val="24"/>
              </w:rPr>
              <w:t>【天街】民居围绕水口呈扇形梯状错落排布，</w:t>
            </w:r>
            <w:r>
              <w:rPr>
                <w:spacing w:val="-29"/>
                <w:sz w:val="24"/>
              </w:rPr>
              <w:t>U</w:t>
            </w:r>
            <w:r>
              <w:rPr>
                <w:sz w:val="24"/>
              </w:rPr>
              <w:t xml:space="preserve"> 形村落带您体验南方的“布达拉宫”。徽 式商铺林立，前店后坊，一</w:t>
            </w:r>
            <w:r>
              <w:rPr>
                <w:spacing w:val="-5"/>
                <w:sz w:val="24"/>
              </w:rPr>
              <w:t>幅流动的缩写版“清明上河图”。家家户户屋顶晒盘云集，绘就映衬</w:t>
            </w:r>
            <w:r>
              <w:rPr>
                <w:spacing w:val="-10"/>
                <w:sz w:val="24"/>
              </w:rPr>
              <w:t xml:space="preserve">晒秋小镇”风情画。 【卧云玻璃桥】索桥似玉带将两岸的梯田串接， </w:t>
            </w:r>
            <w:r>
              <w:rPr>
                <w:spacing w:val="-19"/>
                <w:sz w:val="24"/>
              </w:rPr>
              <w:t>体验百米高空玻璃栈道。俯看脚下梯田，感受未有过的俯视。形成“窗</w:t>
            </w:r>
            <w:r>
              <w:rPr>
                <w:spacing w:val="-12"/>
                <w:sz w:val="24"/>
              </w:rPr>
              <w:t>衔篁岭千叶匾，门聚梯田万”的美景，就像一幅流动的缩写版“清明</w:t>
            </w:r>
            <w:r>
              <w:rPr>
                <w:spacing w:val="-10"/>
                <w:sz w:val="24"/>
              </w:rPr>
              <w:t>上河图”， 游玩【篁岭最新打造—网红 花溪水街】位于篁岭景区水口林方位，一条“坡面上的街道”，中央水流从上而下，十分灵动， 两旁便是商铺林立， 随处可见的鲜花植物，雅致的亭台楼阁，正是</w:t>
            </w:r>
            <w:r>
              <w:rPr>
                <w:spacing w:val="-11"/>
                <w:sz w:val="24"/>
              </w:rPr>
              <w:t>江南水乡。水街布满水雾装置，清凉避暑。高低错落布置有酒吧、咖啡、甜品、茶舍、香道馆等休闲业态。继游览一座穿越千年的古镇，</w:t>
            </w:r>
          </w:p>
          <w:p>
            <w:pPr>
              <w:pStyle w:val="6"/>
              <w:tabs>
                <w:tab w:val="left" w:leader="dot" w:pos="6467"/>
              </w:tabs>
              <w:spacing w:line="244" w:lineRule="auto"/>
              <w:ind w:left="107" w:right="-29"/>
              <w:rPr>
                <w:sz w:val="24"/>
              </w:rPr>
            </w:pPr>
            <w:r>
              <w:rPr>
                <w:spacing w:val="-9"/>
                <w:sz w:val="24"/>
              </w:rPr>
              <w:t>——</w:t>
            </w:r>
            <w:r>
              <w:rPr>
                <w:b/>
                <w:color w:val="C00000"/>
                <w:sz w:val="24"/>
              </w:rPr>
              <w:t>【梦里老家演</w:t>
            </w:r>
            <w:r>
              <w:rPr>
                <w:b/>
                <w:color w:val="C00000"/>
                <w:spacing w:val="-5"/>
                <w:sz w:val="24"/>
              </w:rPr>
              <w:t xml:space="preserve"> </w:t>
            </w:r>
            <w:r>
              <w:rPr>
                <w:b/>
                <w:color w:val="C00000"/>
                <w:sz w:val="24"/>
              </w:rPr>
              <w:t>艺小镇</w:t>
            </w:r>
            <w:r>
              <w:rPr>
                <w:b/>
                <w:color w:val="C00000"/>
                <w:spacing w:val="-17"/>
                <w:sz w:val="24"/>
              </w:rPr>
              <w:t>】</w:t>
            </w:r>
            <w:r>
              <w:rPr>
                <w:sz w:val="24"/>
              </w:rPr>
              <w:t>挖掘徽州文化精髓</w:t>
            </w:r>
            <w:r>
              <w:rPr>
                <w:spacing w:val="-20"/>
                <w:sz w:val="24"/>
              </w:rPr>
              <w:t>，</w:t>
            </w:r>
            <w:r>
              <w:rPr>
                <w:sz w:val="24"/>
              </w:rPr>
              <w:t>传承婺源民俗记忆， 小镇以市井街巷为载体，以演艺为灵魂，为游客提 供穿越历史的新奇体验</w:t>
            </w:r>
            <w:r>
              <w:rPr>
                <w:spacing w:val="-15"/>
                <w:sz w:val="24"/>
              </w:rPr>
              <w:t>，</w:t>
            </w:r>
            <w:r>
              <w:rPr>
                <w:sz w:val="24"/>
              </w:rPr>
              <w:t>游客可以亲临现场感受人生三大幸事</w:t>
            </w:r>
            <w:r>
              <w:rPr>
                <w:spacing w:val="-8"/>
                <w:sz w:val="24"/>
              </w:rPr>
              <w:t>——</w:t>
            </w:r>
            <w:r>
              <w:rPr>
                <w:sz w:val="24"/>
              </w:rPr>
              <w:t>【金榜题名</w:t>
            </w:r>
            <w:r>
              <w:rPr>
                <w:spacing w:val="-17"/>
                <w:sz w:val="24"/>
              </w:rPr>
              <w:t>、</w:t>
            </w:r>
            <w:r>
              <w:rPr>
                <w:sz w:val="24"/>
              </w:rPr>
              <w:t>衣锦还乡、滕百万招女婿】。领 略古徽州繁华什锦、车水马龙的市井风情。板凳龙、徽剧、傩舞、抬阁、火把舞、擂台比武</w:t>
            </w:r>
            <w:r>
              <w:rPr>
                <w:sz w:val="24"/>
              </w:rPr>
              <w:tab/>
            </w:r>
            <w:r>
              <w:rPr>
                <w:sz w:val="24"/>
              </w:rPr>
              <w:t>随处可</w:t>
            </w:r>
          </w:p>
          <w:p>
            <w:pPr>
              <w:pStyle w:val="6"/>
              <w:tabs>
                <w:tab w:val="left" w:leader="middleDot" w:pos="7021"/>
              </w:tabs>
              <w:spacing w:before="2" w:line="296" w:lineRule="exact"/>
              <w:ind w:left="107"/>
              <w:rPr>
                <w:sz w:val="24"/>
              </w:rPr>
            </w:pPr>
            <w:r>
              <w:rPr>
                <w:sz w:val="24"/>
              </w:rPr>
              <w:t>见</w:t>
            </w:r>
            <w:r>
              <w:rPr>
                <w:spacing w:val="-46"/>
                <w:sz w:val="24"/>
              </w:rPr>
              <w:t>；</w:t>
            </w:r>
            <w:r>
              <w:rPr>
                <w:sz w:val="24"/>
              </w:rPr>
              <w:t>进士堂、</w:t>
            </w:r>
            <w:r>
              <w:rPr>
                <w:spacing w:val="-44"/>
                <w:sz w:val="24"/>
              </w:rPr>
              <w:t xml:space="preserve"> </w:t>
            </w:r>
            <w:r>
              <w:rPr>
                <w:sz w:val="24"/>
              </w:rPr>
              <w:t>财神庙</w:t>
            </w:r>
            <w:r>
              <w:rPr>
                <w:spacing w:val="-46"/>
                <w:sz w:val="24"/>
              </w:rPr>
              <w:t>、</w:t>
            </w:r>
            <w:r>
              <w:rPr>
                <w:sz w:val="24"/>
              </w:rPr>
              <w:t>月老祠</w:t>
            </w:r>
            <w:r>
              <w:rPr>
                <w:spacing w:val="-46"/>
                <w:sz w:val="24"/>
              </w:rPr>
              <w:t>、</w:t>
            </w:r>
            <w:r>
              <w:rPr>
                <w:sz w:val="24"/>
              </w:rPr>
              <w:t>恐怖屋</w:t>
            </w:r>
            <w:r>
              <w:rPr>
                <w:spacing w:val="-46"/>
                <w:sz w:val="24"/>
              </w:rPr>
              <w:t>、</w:t>
            </w:r>
            <w:r>
              <w:rPr>
                <w:sz w:val="24"/>
              </w:rPr>
              <w:t>非遗馆</w:t>
            </w:r>
            <w:r>
              <w:rPr>
                <w:spacing w:val="-44"/>
                <w:sz w:val="24"/>
              </w:rPr>
              <w:t>、</w:t>
            </w:r>
            <w:r>
              <w:rPr>
                <w:sz w:val="24"/>
              </w:rPr>
              <w:t>婺女治水</w:t>
            </w:r>
            <w:r>
              <w:rPr>
                <w:sz w:val="24"/>
              </w:rPr>
              <w:tab/>
            </w:r>
            <w:r>
              <w:rPr>
                <w:sz w:val="24"/>
              </w:rPr>
              <w:t>应</w:t>
            </w:r>
          </w:p>
        </w:tc>
        <w:tc>
          <w:tcPr>
            <w:tcW w:w="851" w:type="dxa"/>
          </w:tcPr>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spacing w:before="5"/>
              <w:rPr>
                <w:rFonts w:ascii="Times New Roman"/>
                <w:sz w:val="25"/>
              </w:rPr>
            </w:pPr>
          </w:p>
          <w:p>
            <w:pPr>
              <w:pStyle w:val="6"/>
              <w:spacing w:before="1" w:line="187" w:lineRule="auto"/>
              <w:ind w:left="106" w:right="492"/>
              <w:jc w:val="both"/>
              <w:rPr>
                <w:b/>
                <w:sz w:val="24"/>
              </w:rPr>
            </w:pPr>
            <w:r>
              <w:rPr>
                <w:b/>
                <w:sz w:val="24"/>
              </w:rPr>
              <w:t>早中晚</w:t>
            </w:r>
          </w:p>
        </w:tc>
        <w:tc>
          <w:tcPr>
            <w:tcW w:w="850" w:type="dxa"/>
          </w:tcPr>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spacing w:before="204"/>
              <w:ind w:right="173"/>
              <w:jc w:val="right"/>
              <w:rPr>
                <w:b/>
                <w:sz w:val="24"/>
              </w:rPr>
            </w:pPr>
            <w:r>
              <w:rPr>
                <w:b/>
                <w:w w:val="95"/>
                <w:sz w:val="24"/>
              </w:rPr>
              <w:t>南昌</w:t>
            </w:r>
          </w:p>
        </w:tc>
      </w:tr>
    </w:tbl>
    <w:p>
      <w:pPr>
        <w:spacing w:after="0"/>
        <w:jc w:val="right"/>
        <w:rPr>
          <w:sz w:val="24"/>
        </w:rPr>
        <w:sectPr>
          <w:pgSz w:w="11910" w:h="16840"/>
          <w:pgMar w:top="860" w:right="740" w:bottom="280" w:left="740" w:header="720" w:footer="720" w:gutter="0"/>
        </w:sectPr>
      </w:pPr>
    </w:p>
    <w:tbl>
      <w:tblPr>
        <w:tblStyle w:val="2"/>
        <w:tblW w:w="0" w:type="auto"/>
        <w:tblInd w:w="116" w:type="dxa"/>
        <w:tblBorders>
          <w:top w:val="single" w:color="006FC0" w:sz="4" w:space="0"/>
          <w:left w:val="single" w:color="006FC0" w:sz="4" w:space="0"/>
          <w:bottom w:val="single" w:color="006FC0" w:sz="4" w:space="0"/>
          <w:right w:val="single" w:color="006FC0" w:sz="4" w:space="0"/>
          <w:insideH w:val="single" w:color="006FC0" w:sz="4" w:space="0"/>
          <w:insideV w:val="single" w:color="006FC0" w:sz="4" w:space="0"/>
        </w:tblBorders>
        <w:tblLayout w:type="fixed"/>
        <w:tblCellMar>
          <w:top w:w="0" w:type="dxa"/>
          <w:left w:w="0" w:type="dxa"/>
          <w:bottom w:w="0" w:type="dxa"/>
          <w:right w:w="0" w:type="dxa"/>
        </w:tblCellMar>
      </w:tblPr>
      <w:tblGrid>
        <w:gridCol w:w="1134"/>
        <w:gridCol w:w="7371"/>
        <w:gridCol w:w="851"/>
        <w:gridCol w:w="850"/>
      </w:tblGrid>
      <w:tr>
        <w:tblPrEx>
          <w:tblBorders>
            <w:top w:val="single" w:color="006FC0" w:sz="4" w:space="0"/>
            <w:left w:val="single" w:color="006FC0" w:sz="4" w:space="0"/>
            <w:bottom w:val="single" w:color="006FC0" w:sz="4" w:space="0"/>
            <w:right w:val="single" w:color="006FC0" w:sz="4" w:space="0"/>
            <w:insideH w:val="single" w:color="006FC0" w:sz="4" w:space="0"/>
            <w:insideV w:val="single" w:color="006FC0" w:sz="4" w:space="0"/>
          </w:tblBorders>
          <w:tblCellMar>
            <w:top w:w="0" w:type="dxa"/>
            <w:left w:w="0" w:type="dxa"/>
            <w:bottom w:w="0" w:type="dxa"/>
            <w:right w:w="0" w:type="dxa"/>
          </w:tblCellMar>
        </w:tblPrEx>
        <w:trPr>
          <w:trHeight w:val="3768" w:hRule="atLeast"/>
        </w:trPr>
        <w:tc>
          <w:tcPr>
            <w:tcW w:w="1134" w:type="dxa"/>
          </w:tcPr>
          <w:p>
            <w:pPr>
              <w:pStyle w:val="6"/>
              <w:rPr>
                <w:rFonts w:ascii="Times New Roman"/>
                <w:sz w:val="24"/>
              </w:rPr>
            </w:pPr>
          </w:p>
        </w:tc>
        <w:tc>
          <w:tcPr>
            <w:tcW w:w="7371" w:type="dxa"/>
          </w:tcPr>
          <w:p>
            <w:pPr>
              <w:pStyle w:val="6"/>
              <w:tabs>
                <w:tab w:val="left" w:leader="dot" w:pos="5358"/>
              </w:tabs>
              <w:spacing w:line="244" w:lineRule="auto"/>
              <w:ind w:left="107" w:right="97"/>
              <w:rPr>
                <w:sz w:val="24"/>
              </w:rPr>
            </w:pPr>
            <w:r>
              <w:rPr>
                <w:sz w:val="24"/>
              </w:rPr>
              <w:t>有尽有</w:t>
            </w:r>
            <w:r>
              <w:rPr>
                <w:spacing w:val="-41"/>
                <w:sz w:val="24"/>
              </w:rPr>
              <w:t>；</w:t>
            </w:r>
            <w:r>
              <w:rPr>
                <w:sz w:val="24"/>
              </w:rPr>
              <w:t>徽州美食</w:t>
            </w:r>
            <w:r>
              <w:rPr>
                <w:spacing w:val="-44"/>
                <w:sz w:val="24"/>
              </w:rPr>
              <w:t>、</w:t>
            </w:r>
            <w:r>
              <w:rPr>
                <w:sz w:val="24"/>
              </w:rPr>
              <w:t>酒肆茶坊</w:t>
            </w:r>
            <w:r>
              <w:rPr>
                <w:spacing w:val="-41"/>
                <w:sz w:val="24"/>
              </w:rPr>
              <w:t>、</w:t>
            </w:r>
            <w:r>
              <w:rPr>
                <w:sz w:val="24"/>
              </w:rPr>
              <w:t>绫罗绸缎......琳琅满目</w:t>
            </w:r>
            <w:r>
              <w:rPr>
                <w:spacing w:val="-41"/>
                <w:sz w:val="24"/>
              </w:rPr>
              <w:t>；</w:t>
            </w:r>
            <w:r>
              <w:rPr>
                <w:sz w:val="24"/>
              </w:rPr>
              <w:t xml:space="preserve">身着古 </w:t>
            </w:r>
            <w:r>
              <w:rPr>
                <w:spacing w:val="-16"/>
                <w:sz w:val="24"/>
              </w:rPr>
              <w:t>装</w:t>
            </w:r>
            <w:r>
              <w:rPr>
                <w:sz w:val="24"/>
              </w:rPr>
              <w:t>的商贩</w:t>
            </w:r>
            <w:r>
              <w:rPr>
                <w:spacing w:val="-15"/>
                <w:sz w:val="24"/>
              </w:rPr>
              <w:t>，</w:t>
            </w:r>
            <w:r>
              <w:rPr>
                <w:sz w:val="24"/>
              </w:rPr>
              <w:t>匠心专注的艺人</w:t>
            </w:r>
            <w:r>
              <w:rPr>
                <w:spacing w:val="-15"/>
                <w:sz w:val="24"/>
              </w:rPr>
              <w:t>，</w:t>
            </w:r>
            <w:r>
              <w:rPr>
                <w:sz w:val="24"/>
              </w:rPr>
              <w:t>打更巡夜的更夫</w:t>
            </w:r>
            <w:r>
              <w:rPr>
                <w:sz w:val="24"/>
              </w:rPr>
              <w:tab/>
            </w:r>
            <w:r>
              <w:rPr>
                <w:sz w:val="24"/>
              </w:rPr>
              <w:t>神态迥异</w:t>
            </w:r>
            <w:r>
              <w:rPr>
                <w:spacing w:val="-17"/>
                <w:sz w:val="24"/>
              </w:rPr>
              <w:t>，</w:t>
            </w:r>
            <w:r>
              <w:rPr>
                <w:sz w:val="24"/>
              </w:rPr>
              <w:t>可谓</w:t>
            </w:r>
            <w:r>
              <w:rPr>
                <w:spacing w:val="-17"/>
                <w:sz w:val="24"/>
              </w:rPr>
              <w:t>是</w:t>
            </w:r>
          </w:p>
          <w:p>
            <w:pPr>
              <w:pStyle w:val="6"/>
              <w:ind w:left="107"/>
              <w:rPr>
                <w:sz w:val="24"/>
              </w:rPr>
            </w:pPr>
            <w:r>
              <w:rPr>
                <w:spacing w:val="-4"/>
                <w:sz w:val="24"/>
              </w:rPr>
              <w:t>一座活着的徽州古镇。车赴千年瓷都景德镇，重点游览瓷器作坊——</w:t>
            </w:r>
          </w:p>
          <w:p>
            <w:pPr>
              <w:pStyle w:val="6"/>
              <w:spacing w:before="1" w:line="244" w:lineRule="auto"/>
              <w:ind w:left="107" w:right="-29"/>
              <w:rPr>
                <w:sz w:val="24"/>
              </w:rPr>
            </w:pPr>
            <w:r>
              <w:rPr>
                <w:b/>
                <w:color w:val="C00000"/>
                <w:sz w:val="24"/>
              </w:rPr>
              <w:t>【富玉官窑】（赠送游览）</w:t>
            </w:r>
            <w:r>
              <w:rPr>
                <w:spacing w:val="-1"/>
                <w:sz w:val="24"/>
              </w:rPr>
              <w:t>北看故宫，南访古窑；听瓷乐 神韵、祭</w:t>
            </w:r>
            <w:r>
              <w:rPr>
                <w:spacing w:val="-6"/>
                <w:sz w:val="24"/>
              </w:rPr>
              <w:t>窑神童兵，观摩世界上最古老的制瓷生产线，亲手体验手工制陶的过</w:t>
            </w:r>
            <w:r>
              <w:rPr>
                <w:spacing w:val="-14"/>
                <w:sz w:val="24"/>
              </w:rPr>
              <w:t>程，探索千年窑火之谜。在官窑民窑瓷厂，欣赏从搓泥、拉坯、印坯、</w:t>
            </w:r>
            <w:r>
              <w:rPr>
                <w:spacing w:val="-10"/>
                <w:sz w:val="24"/>
              </w:rPr>
              <w:t>利坯、画坯、上釉、烧窑，开窑的一整个过程，看世界上最大的柴窑和其他窑群 听瓷器演奏表演。感兴趣可在老师的指导下，选择学习拉坯或者上釉、画坯三种工序中的一种，亲身体会“手随泥 走，泥</w:t>
            </w:r>
            <w:r>
              <w:rPr>
                <w:spacing w:val="-9"/>
                <w:sz w:val="24"/>
              </w:rPr>
              <w:t>随手变”，巧夺天工的瓷工拉坯成型绝技。大家制作完成后还可以参观一下这个文艺气息熏陶下的景德镇瓷 器建筑厂，畅游其中，穿越</w:t>
            </w:r>
          </w:p>
          <w:p>
            <w:pPr>
              <w:pStyle w:val="6"/>
              <w:spacing w:before="3" w:line="299" w:lineRule="exact"/>
              <w:ind w:left="107"/>
              <w:rPr>
                <w:sz w:val="24"/>
              </w:rPr>
            </w:pPr>
            <w:r>
              <w:rPr>
                <w:sz w:val="24"/>
              </w:rPr>
              <w:t>千年。后车赴南昌，入住酒店。</w:t>
            </w:r>
          </w:p>
        </w:tc>
        <w:tc>
          <w:tcPr>
            <w:tcW w:w="851" w:type="dxa"/>
          </w:tcPr>
          <w:p>
            <w:pPr>
              <w:pStyle w:val="6"/>
              <w:rPr>
                <w:rFonts w:ascii="Times New Roman"/>
                <w:sz w:val="24"/>
              </w:rPr>
            </w:pPr>
          </w:p>
        </w:tc>
        <w:tc>
          <w:tcPr>
            <w:tcW w:w="850" w:type="dxa"/>
          </w:tcPr>
          <w:p>
            <w:pPr>
              <w:pStyle w:val="6"/>
              <w:rPr>
                <w:rFonts w:ascii="Times New Roman"/>
                <w:sz w:val="24"/>
              </w:rPr>
            </w:pPr>
          </w:p>
        </w:tc>
      </w:tr>
      <w:tr>
        <w:tblPrEx>
          <w:tblBorders>
            <w:top w:val="single" w:color="006FC0" w:sz="4" w:space="0"/>
            <w:left w:val="single" w:color="006FC0" w:sz="4" w:space="0"/>
            <w:bottom w:val="single" w:color="006FC0" w:sz="4" w:space="0"/>
            <w:right w:val="single" w:color="006FC0" w:sz="4" w:space="0"/>
            <w:insideH w:val="single" w:color="006FC0" w:sz="4" w:space="0"/>
            <w:insideV w:val="single" w:color="006FC0" w:sz="4" w:space="0"/>
          </w:tblBorders>
          <w:tblCellMar>
            <w:top w:w="0" w:type="dxa"/>
            <w:left w:w="0" w:type="dxa"/>
            <w:bottom w:w="0" w:type="dxa"/>
            <w:right w:w="0" w:type="dxa"/>
          </w:tblCellMar>
        </w:tblPrEx>
        <w:trPr>
          <w:trHeight w:val="3453" w:hRule="atLeast"/>
        </w:trPr>
        <w:tc>
          <w:tcPr>
            <w:tcW w:w="1134" w:type="dxa"/>
            <w:tcBorders>
              <w:bottom w:val="single" w:color="00AFEF" w:sz="4" w:space="0"/>
            </w:tcBorders>
          </w:tcPr>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spacing w:before="7"/>
              <w:rPr>
                <w:rFonts w:ascii="Times New Roman"/>
                <w:sz w:val="25"/>
              </w:rPr>
            </w:pPr>
          </w:p>
          <w:p>
            <w:pPr>
              <w:pStyle w:val="6"/>
              <w:ind w:left="108"/>
              <w:rPr>
                <w:sz w:val="24"/>
              </w:rPr>
            </w:pPr>
            <w:r>
              <w:rPr>
                <w:sz w:val="24"/>
              </w:rPr>
              <w:t>第四天</w:t>
            </w:r>
          </w:p>
        </w:tc>
        <w:tc>
          <w:tcPr>
            <w:tcW w:w="7371" w:type="dxa"/>
            <w:tcBorders>
              <w:bottom w:val="single" w:color="00AFEF" w:sz="4" w:space="0"/>
            </w:tcBorders>
          </w:tcPr>
          <w:p>
            <w:pPr>
              <w:pStyle w:val="6"/>
              <w:spacing w:line="244" w:lineRule="auto"/>
              <w:ind w:left="107" w:right="-29"/>
              <w:rPr>
                <w:sz w:val="24"/>
              </w:rPr>
            </w:pPr>
            <w:r>
              <w:rPr>
                <w:spacing w:val="-17"/>
                <w:sz w:val="24"/>
              </w:rPr>
              <w:t>早餐后，早餐后集合乘车赴革命摇篮——井冈山</w:t>
            </w:r>
            <w:r>
              <w:rPr>
                <w:sz w:val="24"/>
              </w:rPr>
              <w:t>（</w:t>
            </w:r>
            <w:r>
              <w:rPr>
                <w:spacing w:val="12"/>
                <w:sz w:val="24"/>
              </w:rPr>
              <w:t>车程约</w:t>
            </w:r>
            <w:r>
              <w:rPr>
                <w:sz w:val="24"/>
              </w:rPr>
              <w:t>4</w:t>
            </w:r>
            <w:r>
              <w:rPr>
                <w:spacing w:val="-17"/>
                <w:sz w:val="24"/>
              </w:rPr>
              <w:t xml:space="preserve"> 小时左右</w:t>
            </w:r>
            <w:r>
              <w:rPr>
                <w:spacing w:val="-126"/>
                <w:sz w:val="24"/>
              </w:rPr>
              <w:t>）</w:t>
            </w:r>
            <w:r>
              <w:rPr>
                <w:spacing w:val="-6"/>
                <w:sz w:val="24"/>
              </w:rPr>
              <w:t>，</w:t>
            </w:r>
            <w:r>
              <w:rPr>
                <w:spacing w:val="-3"/>
                <w:sz w:val="24"/>
              </w:rPr>
              <w:t>在井冈山标志</w:t>
            </w:r>
            <w:r>
              <w:rPr>
                <w:b/>
                <w:color w:val="FF0000"/>
                <w:spacing w:val="-3"/>
                <w:sz w:val="24"/>
              </w:rPr>
              <w:t>【红旗雕塑】</w:t>
            </w:r>
            <w:r>
              <w:rPr>
                <w:spacing w:val="-4"/>
                <w:sz w:val="24"/>
              </w:rPr>
              <w:t>留影，参观井冈山一号工程</w:t>
            </w:r>
            <w:r>
              <w:rPr>
                <w:b/>
                <w:color w:val="FF0000"/>
                <w:sz w:val="24"/>
              </w:rPr>
              <w:t>【井冈山博物</w:t>
            </w:r>
            <w:r>
              <w:rPr>
                <w:b/>
                <w:color w:val="FF0000"/>
                <w:spacing w:val="-14"/>
                <w:sz w:val="24"/>
              </w:rPr>
              <w:t>馆】</w:t>
            </w:r>
            <w:r>
              <w:rPr>
                <w:b/>
                <w:sz w:val="24"/>
              </w:rPr>
              <w:t>（</w:t>
            </w:r>
            <w:r>
              <w:rPr>
                <w:b/>
                <w:spacing w:val="-11"/>
                <w:sz w:val="24"/>
              </w:rPr>
              <w:t xml:space="preserve">游览时间约 </w:t>
            </w:r>
            <w:r>
              <w:rPr>
                <w:b/>
                <w:sz w:val="24"/>
              </w:rPr>
              <w:t>1</w:t>
            </w:r>
            <w:r>
              <w:rPr>
                <w:b/>
                <w:spacing w:val="-13"/>
                <w:sz w:val="24"/>
              </w:rPr>
              <w:t xml:space="preserve"> 小时左右</w:t>
            </w:r>
            <w:r>
              <w:rPr>
                <w:b/>
                <w:spacing w:val="-15"/>
                <w:sz w:val="24"/>
              </w:rPr>
              <w:t>）</w:t>
            </w:r>
            <w:r>
              <w:rPr>
                <w:spacing w:val="-7"/>
                <w:sz w:val="24"/>
              </w:rPr>
              <w:t xml:space="preserve">该博物馆占地面积 </w:t>
            </w:r>
            <w:r>
              <w:rPr>
                <w:sz w:val="24"/>
              </w:rPr>
              <w:t>1.782</w:t>
            </w:r>
            <w:r>
              <w:rPr>
                <w:spacing w:val="-14"/>
                <w:sz w:val="24"/>
              </w:rPr>
              <w:t xml:space="preserve"> 公顷，总建</w:t>
            </w:r>
          </w:p>
          <w:p>
            <w:pPr>
              <w:pStyle w:val="6"/>
              <w:ind w:left="107"/>
              <w:rPr>
                <w:sz w:val="24"/>
              </w:rPr>
            </w:pPr>
            <w:r>
              <w:rPr>
                <w:spacing w:val="-15"/>
                <w:sz w:val="24"/>
              </w:rPr>
              <w:t xml:space="preserve">筑面积 </w:t>
            </w:r>
            <w:r>
              <w:rPr>
                <w:sz w:val="24"/>
              </w:rPr>
              <w:t>20030</w:t>
            </w:r>
            <w:r>
              <w:rPr>
                <w:spacing w:val="-13"/>
                <w:sz w:val="24"/>
              </w:rPr>
              <w:t xml:space="preserve"> 平方米，其中展厅面积 </w:t>
            </w:r>
            <w:r>
              <w:rPr>
                <w:sz w:val="24"/>
              </w:rPr>
              <w:t>8436</w:t>
            </w:r>
            <w:r>
              <w:rPr>
                <w:spacing w:val="-14"/>
                <w:sz w:val="24"/>
              </w:rPr>
              <w:t xml:space="preserve"> 平方米；馆藏文物 </w:t>
            </w:r>
            <w:r>
              <w:rPr>
                <w:sz w:val="24"/>
              </w:rPr>
              <w:t>3</w:t>
            </w:r>
            <w:r>
              <w:rPr>
                <w:spacing w:val="-20"/>
                <w:sz w:val="24"/>
              </w:rPr>
              <w:t xml:space="preserve"> 万余</w:t>
            </w:r>
          </w:p>
          <w:p>
            <w:pPr>
              <w:pStyle w:val="6"/>
              <w:spacing w:before="1" w:line="244" w:lineRule="auto"/>
              <w:ind w:left="107" w:right="97"/>
              <w:jc w:val="both"/>
              <w:rPr>
                <w:b/>
                <w:sz w:val="24"/>
              </w:rPr>
            </w:pPr>
            <w:r>
              <w:rPr>
                <w:spacing w:val="-8"/>
                <w:sz w:val="24"/>
              </w:rPr>
              <w:t xml:space="preserve">件，珍贵文献资料和历史图片 </w:t>
            </w:r>
            <w:r>
              <w:rPr>
                <w:sz w:val="24"/>
              </w:rPr>
              <w:t>2</w:t>
            </w:r>
            <w:r>
              <w:rPr>
                <w:spacing w:val="-11"/>
                <w:sz w:val="24"/>
              </w:rPr>
              <w:t xml:space="preserve"> 万余份，珍藏领导人、著名书画家及</w:t>
            </w:r>
            <w:r>
              <w:rPr>
                <w:spacing w:val="-4"/>
                <w:sz w:val="24"/>
              </w:rPr>
              <w:t>社会各界知名人士的墨宝珍迹千余幅。保存毛泽东、朱德等领导人重</w:t>
            </w:r>
            <w:r>
              <w:rPr>
                <w:spacing w:val="-3"/>
                <w:sz w:val="24"/>
              </w:rPr>
              <w:t>上井冈山时的影视资料数百件。后瞻仰</w:t>
            </w:r>
            <w:r>
              <w:rPr>
                <w:b/>
                <w:color w:val="FF0000"/>
                <w:spacing w:val="-3"/>
                <w:sz w:val="24"/>
              </w:rPr>
              <w:t>【井冈山革命烈士陵园】</w:t>
            </w:r>
            <w:r>
              <w:rPr>
                <w:b/>
                <w:sz w:val="24"/>
              </w:rPr>
              <w:t>（</w:t>
            </w:r>
            <w:r>
              <w:rPr>
                <w:b/>
                <w:spacing w:val="-14"/>
                <w:sz w:val="24"/>
              </w:rPr>
              <w:t>游</w:t>
            </w:r>
            <w:r>
              <w:rPr>
                <w:b/>
                <w:spacing w:val="-13"/>
                <w:sz w:val="24"/>
              </w:rPr>
              <w:t xml:space="preserve">览时间约 </w:t>
            </w:r>
            <w:r>
              <w:rPr>
                <w:b/>
                <w:sz w:val="24"/>
              </w:rPr>
              <w:t>1</w:t>
            </w:r>
            <w:r>
              <w:rPr>
                <w:b/>
                <w:spacing w:val="-13"/>
                <w:sz w:val="24"/>
              </w:rPr>
              <w:t xml:space="preserve"> 小时左右</w:t>
            </w:r>
            <w:r>
              <w:rPr>
                <w:b/>
                <w:spacing w:val="-17"/>
                <w:sz w:val="24"/>
              </w:rPr>
              <w:t>）</w:t>
            </w:r>
            <w:r>
              <w:rPr>
                <w:spacing w:val="-7"/>
                <w:sz w:val="24"/>
              </w:rPr>
              <w:t>，吊唁大厅瞻仰烈士遗像，碑林记录领导人物</w:t>
            </w:r>
            <w:r>
              <w:rPr>
                <w:spacing w:val="-5"/>
                <w:sz w:val="24"/>
              </w:rPr>
              <w:t>对井冈山的情怀，雕塑园了解井冈山领导人物的丰功伟绩。抵达陵园最高点后参观茨坪全貌，于“星星之火”雕塑合影。</w:t>
            </w:r>
            <w:r>
              <w:rPr>
                <w:color w:val="FF0000"/>
                <w:sz w:val="24"/>
              </w:rPr>
              <w:t>【</w:t>
            </w:r>
            <w:r>
              <w:rPr>
                <w:b/>
                <w:color w:val="FF0000"/>
                <w:spacing w:val="-3"/>
                <w:sz w:val="24"/>
              </w:rPr>
              <w:t>茨坪毛泽东旧</w:t>
            </w:r>
          </w:p>
          <w:p>
            <w:pPr>
              <w:pStyle w:val="6"/>
              <w:spacing w:before="2" w:line="300" w:lineRule="exact"/>
              <w:ind w:left="107"/>
              <w:rPr>
                <w:sz w:val="24"/>
              </w:rPr>
            </w:pPr>
            <w:r>
              <w:rPr>
                <w:b/>
                <w:color w:val="FF0000"/>
                <w:sz w:val="24"/>
              </w:rPr>
              <w:t>居</w:t>
            </w:r>
            <w:r>
              <w:rPr>
                <w:color w:val="FF0000"/>
                <w:sz w:val="24"/>
              </w:rPr>
              <w:t>】</w:t>
            </w:r>
            <w:r>
              <w:rPr>
                <w:color w:val="3D3D3D"/>
                <w:sz w:val="24"/>
              </w:rPr>
              <w:t>。晚餐后</w:t>
            </w:r>
            <w:r>
              <w:rPr>
                <w:sz w:val="24"/>
              </w:rPr>
              <w:t>入住酒店。</w:t>
            </w:r>
          </w:p>
        </w:tc>
        <w:tc>
          <w:tcPr>
            <w:tcW w:w="851" w:type="dxa"/>
            <w:tcBorders>
              <w:bottom w:val="single" w:color="00AFEF" w:sz="4" w:space="0"/>
            </w:tcBorders>
          </w:tcPr>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spacing w:before="213" w:line="218" w:lineRule="auto"/>
              <w:ind w:left="106" w:right="492"/>
              <w:jc w:val="both"/>
              <w:rPr>
                <w:b/>
                <w:sz w:val="24"/>
              </w:rPr>
            </w:pPr>
            <w:r>
              <w:rPr>
                <w:b/>
                <w:sz w:val="24"/>
              </w:rPr>
              <w:t>早中晚</w:t>
            </w:r>
          </w:p>
        </w:tc>
        <w:tc>
          <w:tcPr>
            <w:tcW w:w="850" w:type="dxa"/>
            <w:tcBorders>
              <w:bottom w:val="single" w:color="00AFEF" w:sz="4" w:space="0"/>
            </w:tcBorders>
          </w:tcPr>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spacing w:before="3"/>
              <w:rPr>
                <w:rFonts w:ascii="Times New Roman"/>
                <w:sz w:val="31"/>
              </w:rPr>
            </w:pPr>
          </w:p>
          <w:p>
            <w:pPr>
              <w:pStyle w:val="6"/>
              <w:spacing w:line="218" w:lineRule="auto"/>
              <w:ind w:left="304" w:right="173" w:hanging="120"/>
              <w:rPr>
                <w:b/>
                <w:sz w:val="24"/>
              </w:rPr>
            </w:pPr>
            <w:r>
              <w:rPr>
                <w:b/>
                <w:sz w:val="24"/>
              </w:rPr>
              <w:t>井冈山</w:t>
            </w:r>
          </w:p>
        </w:tc>
      </w:tr>
      <w:tr>
        <w:tblPrEx>
          <w:tblBorders>
            <w:top w:val="single" w:color="006FC0" w:sz="4" w:space="0"/>
            <w:left w:val="single" w:color="006FC0" w:sz="4" w:space="0"/>
            <w:bottom w:val="single" w:color="006FC0" w:sz="4" w:space="0"/>
            <w:right w:val="single" w:color="006FC0" w:sz="4" w:space="0"/>
            <w:insideH w:val="single" w:color="006FC0" w:sz="4" w:space="0"/>
            <w:insideV w:val="single" w:color="006FC0" w:sz="4" w:space="0"/>
          </w:tblBorders>
          <w:tblCellMar>
            <w:top w:w="0" w:type="dxa"/>
            <w:left w:w="0" w:type="dxa"/>
            <w:bottom w:w="0" w:type="dxa"/>
            <w:right w:w="0" w:type="dxa"/>
          </w:tblCellMar>
        </w:tblPrEx>
        <w:trPr>
          <w:trHeight w:val="4396" w:hRule="atLeast"/>
        </w:trPr>
        <w:tc>
          <w:tcPr>
            <w:tcW w:w="1134" w:type="dxa"/>
            <w:tcBorders>
              <w:top w:val="single" w:color="00AFEF" w:sz="4" w:space="0"/>
              <w:left w:val="single" w:color="00AFEF" w:sz="4" w:space="0"/>
              <w:bottom w:val="single" w:color="000000" w:sz="4" w:space="0"/>
              <w:right w:val="single" w:color="00AFEF" w:sz="4" w:space="0"/>
            </w:tcBorders>
          </w:tcPr>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spacing w:before="10"/>
              <w:rPr>
                <w:rFonts w:ascii="Times New Roman"/>
                <w:sz w:val="32"/>
              </w:rPr>
            </w:pPr>
          </w:p>
          <w:p>
            <w:pPr>
              <w:pStyle w:val="6"/>
              <w:ind w:right="192"/>
              <w:jc w:val="right"/>
              <w:rPr>
                <w:b/>
                <w:sz w:val="24"/>
              </w:rPr>
            </w:pPr>
            <w:r>
              <w:rPr>
                <w:b/>
                <w:w w:val="95"/>
                <w:sz w:val="24"/>
              </w:rPr>
              <w:t>第五天</w:t>
            </w:r>
          </w:p>
        </w:tc>
        <w:tc>
          <w:tcPr>
            <w:tcW w:w="7371" w:type="dxa"/>
            <w:tcBorders>
              <w:top w:val="single" w:color="00AFEF" w:sz="4" w:space="0"/>
              <w:left w:val="single" w:color="00AFEF" w:sz="4" w:space="0"/>
              <w:bottom w:val="single" w:color="000000" w:sz="4" w:space="0"/>
              <w:right w:val="single" w:color="00AFEF" w:sz="4" w:space="0"/>
            </w:tcBorders>
          </w:tcPr>
          <w:p>
            <w:pPr>
              <w:pStyle w:val="6"/>
              <w:spacing w:line="244" w:lineRule="auto"/>
              <w:ind w:left="107" w:right="-29"/>
              <w:rPr>
                <w:sz w:val="24"/>
              </w:rPr>
            </w:pPr>
            <w:r>
              <w:rPr>
                <w:spacing w:val="-7"/>
                <w:sz w:val="24"/>
              </w:rPr>
              <w:t>游览参观革命烈士【</w:t>
            </w:r>
            <w:r>
              <w:rPr>
                <w:b/>
                <w:sz w:val="24"/>
              </w:rPr>
              <w:t>王佐故居</w:t>
            </w:r>
            <w:r>
              <w:rPr>
                <w:spacing w:val="-12"/>
                <w:sz w:val="24"/>
              </w:rPr>
              <w:t xml:space="preserve">】，参观绿林好汉王佐故居及铜像广场， </w:t>
            </w:r>
            <w:r>
              <w:rPr>
                <w:spacing w:val="-17"/>
                <w:sz w:val="24"/>
              </w:rPr>
              <w:t xml:space="preserve">距井冈山革命根据地创建已有 </w:t>
            </w:r>
            <w:r>
              <w:rPr>
                <w:sz w:val="24"/>
              </w:rPr>
              <w:t>87</w:t>
            </w:r>
            <w:r>
              <w:rPr>
                <w:spacing w:val="-22"/>
                <w:sz w:val="24"/>
              </w:rPr>
              <w:t xml:space="preserve"> 周年，距王佐同志逝世已有 </w:t>
            </w:r>
            <w:r>
              <w:rPr>
                <w:sz w:val="24"/>
              </w:rPr>
              <w:t>84</w:t>
            </w:r>
            <w:r>
              <w:rPr>
                <w:spacing w:val="-21"/>
                <w:sz w:val="24"/>
              </w:rPr>
              <w:t xml:space="preserve"> 周年， </w:t>
            </w:r>
            <w:r>
              <w:rPr>
                <w:spacing w:val="-3"/>
                <w:sz w:val="24"/>
              </w:rPr>
              <w:t>在王佐故居安放烈士铜像，是缅怀革命先辈、告慰烈士英灵的实际行</w:t>
            </w:r>
            <w:r>
              <w:rPr>
                <w:spacing w:val="-6"/>
                <w:sz w:val="24"/>
              </w:rPr>
              <w:t>动，对铭记井冈山革命先烈的光辉业绩，弘扬井冈山精神，</w:t>
            </w:r>
            <w:r>
              <w:rPr>
                <w:b/>
                <w:color w:val="FF0000"/>
                <w:sz w:val="24"/>
              </w:rPr>
              <w:t>【挹翠湖</w:t>
            </w:r>
            <w:r>
              <w:rPr>
                <w:b/>
                <w:color w:val="FF0000"/>
                <w:spacing w:val="-9"/>
                <w:sz w:val="24"/>
              </w:rPr>
              <w:t>公园】</w:t>
            </w:r>
            <w:r>
              <w:rPr>
                <w:b/>
                <w:sz w:val="24"/>
              </w:rPr>
              <w:t>（</w:t>
            </w:r>
            <w:r>
              <w:rPr>
                <w:b/>
                <w:spacing w:val="-11"/>
                <w:sz w:val="24"/>
              </w:rPr>
              <w:t xml:space="preserve">游览时间约 </w:t>
            </w:r>
            <w:r>
              <w:rPr>
                <w:b/>
                <w:sz w:val="24"/>
              </w:rPr>
              <w:t>1</w:t>
            </w:r>
            <w:r>
              <w:rPr>
                <w:b/>
                <w:spacing w:val="-13"/>
                <w:sz w:val="24"/>
              </w:rPr>
              <w:t xml:space="preserve"> 小时左右</w:t>
            </w:r>
            <w:r>
              <w:rPr>
                <w:b/>
                <w:spacing w:val="-15"/>
                <w:sz w:val="24"/>
              </w:rPr>
              <w:t>）</w:t>
            </w:r>
            <w:r>
              <w:rPr>
                <w:spacing w:val="-3"/>
                <w:sz w:val="24"/>
              </w:rPr>
              <w:t>位于茨坪中心，四周为茨坪的林荫</w:t>
            </w:r>
            <w:r>
              <w:rPr>
                <w:spacing w:val="-7"/>
                <w:sz w:val="24"/>
              </w:rPr>
              <w:t>大道所环绕，环境十分幽雅，也是憩息和玩赏的极好场所。挹翠湖所</w:t>
            </w:r>
            <w:r>
              <w:rPr>
                <w:spacing w:val="-12"/>
                <w:sz w:val="24"/>
              </w:rPr>
              <w:t xml:space="preserve">在的挹翠湖公园占地面积 </w:t>
            </w:r>
            <w:r>
              <w:rPr>
                <w:sz w:val="24"/>
              </w:rPr>
              <w:t>120</w:t>
            </w:r>
            <w:r>
              <w:rPr>
                <w:spacing w:val="-11"/>
                <w:sz w:val="24"/>
              </w:rPr>
              <w:t xml:space="preserve"> 余亩，园内有挹翠湖、茶室、亭榭、盆</w:t>
            </w:r>
          </w:p>
          <w:p>
            <w:pPr>
              <w:pStyle w:val="6"/>
              <w:spacing w:line="244" w:lineRule="auto"/>
              <w:ind w:left="107" w:right="97"/>
              <w:jc w:val="both"/>
              <w:rPr>
                <w:sz w:val="24"/>
              </w:rPr>
            </w:pPr>
            <w:r>
              <w:rPr>
                <w:spacing w:val="-5"/>
                <w:sz w:val="24"/>
              </w:rPr>
              <w:t xml:space="preserve">趣园等游赏景点。园内有水面 </w:t>
            </w:r>
            <w:r>
              <w:rPr>
                <w:sz w:val="24"/>
              </w:rPr>
              <w:t>80</w:t>
            </w:r>
            <w:r>
              <w:rPr>
                <w:spacing w:val="-8"/>
                <w:sz w:val="24"/>
              </w:rPr>
              <w:t xml:space="preserve"> 多亩，湖心岛上山岩谲奇，蕙兰争</w:t>
            </w:r>
            <w:r>
              <w:rPr>
                <w:spacing w:val="-10"/>
                <w:sz w:val="24"/>
              </w:rPr>
              <w:t>艳。倚栏小憩，颇有唐代诗人所描绘的“闲云潭影日悠悠”之趣。游</w:t>
            </w:r>
            <w:r>
              <w:rPr>
                <w:spacing w:val="-8"/>
                <w:sz w:val="24"/>
              </w:rPr>
              <w:t>览</w:t>
            </w:r>
            <w:r>
              <w:rPr>
                <w:b/>
                <w:color w:val="FF0000"/>
                <w:spacing w:val="-2"/>
                <w:sz w:val="24"/>
              </w:rPr>
              <w:t>【火炬广场】</w:t>
            </w:r>
            <w:r>
              <w:rPr>
                <w:spacing w:val="-6"/>
                <w:sz w:val="24"/>
              </w:rPr>
              <w:t>井冈山火炬广场以“聚焦、精致、大气”为指导，以</w:t>
            </w:r>
            <w:r>
              <w:rPr>
                <w:spacing w:val="-5"/>
                <w:sz w:val="24"/>
              </w:rPr>
              <w:t>“传承红色基因、继承井冈山精神”为主题。建设内容主要包括入口</w:t>
            </w:r>
            <w:r>
              <w:rPr>
                <w:spacing w:val="-6"/>
                <w:sz w:val="24"/>
              </w:rPr>
              <w:t>广场改造、登山游步道改造、山顶广场改造、山顶红色基因传承展示</w:t>
            </w:r>
            <w:r>
              <w:rPr>
                <w:spacing w:val="-7"/>
                <w:sz w:val="24"/>
              </w:rPr>
              <w:t>馆建设、主题雕塑建设等。并以崭新、精致、秀美的面貌迎接八方游</w:t>
            </w:r>
          </w:p>
          <w:p>
            <w:pPr>
              <w:pStyle w:val="6"/>
              <w:spacing w:line="300" w:lineRule="exact"/>
              <w:ind w:left="107"/>
              <w:rPr>
                <w:sz w:val="24"/>
              </w:rPr>
            </w:pPr>
            <w:r>
              <w:rPr>
                <w:sz w:val="24"/>
              </w:rPr>
              <w:t>客。后返回南昌入住酒店</w:t>
            </w:r>
          </w:p>
        </w:tc>
        <w:tc>
          <w:tcPr>
            <w:tcW w:w="851" w:type="dxa"/>
            <w:tcBorders>
              <w:top w:val="single" w:color="00AFEF" w:sz="4" w:space="0"/>
              <w:left w:val="single" w:color="00AFEF" w:sz="4" w:space="0"/>
              <w:bottom w:val="single" w:color="000000" w:sz="4" w:space="0"/>
              <w:right w:val="single" w:color="00AFEF" w:sz="4" w:space="0"/>
            </w:tcBorders>
          </w:tcPr>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spacing w:before="179" w:line="187" w:lineRule="auto"/>
              <w:ind w:left="106" w:right="492"/>
              <w:jc w:val="both"/>
              <w:rPr>
                <w:b/>
                <w:sz w:val="24"/>
              </w:rPr>
            </w:pPr>
            <w:r>
              <w:rPr>
                <w:b/>
                <w:sz w:val="24"/>
              </w:rPr>
              <w:t>早中晚</w:t>
            </w:r>
          </w:p>
        </w:tc>
        <w:tc>
          <w:tcPr>
            <w:tcW w:w="850" w:type="dxa"/>
            <w:tcBorders>
              <w:top w:val="single" w:color="00AFEF" w:sz="4" w:space="0"/>
              <w:left w:val="single" w:color="00AFEF" w:sz="4" w:space="0"/>
              <w:bottom w:val="single" w:color="000000" w:sz="4" w:space="0"/>
              <w:right w:val="single" w:color="00AFEF" w:sz="4" w:space="0"/>
            </w:tcBorders>
          </w:tcPr>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spacing w:before="9"/>
              <w:rPr>
                <w:rFonts w:ascii="Times New Roman"/>
                <w:sz w:val="31"/>
              </w:rPr>
            </w:pPr>
          </w:p>
          <w:p>
            <w:pPr>
              <w:pStyle w:val="6"/>
              <w:ind w:left="107"/>
              <w:rPr>
                <w:b/>
                <w:sz w:val="24"/>
              </w:rPr>
            </w:pPr>
            <w:r>
              <w:rPr>
                <w:b/>
                <w:sz w:val="24"/>
              </w:rPr>
              <w:t>南昌</w:t>
            </w:r>
          </w:p>
        </w:tc>
      </w:tr>
      <w:tr>
        <w:tblPrEx>
          <w:tblBorders>
            <w:top w:val="single" w:color="006FC0" w:sz="4" w:space="0"/>
            <w:left w:val="single" w:color="006FC0" w:sz="4" w:space="0"/>
            <w:bottom w:val="single" w:color="006FC0" w:sz="4" w:space="0"/>
            <w:right w:val="single" w:color="006FC0" w:sz="4" w:space="0"/>
            <w:insideH w:val="single" w:color="006FC0" w:sz="4" w:space="0"/>
            <w:insideV w:val="single" w:color="006FC0" w:sz="4" w:space="0"/>
          </w:tblBorders>
          <w:tblCellMar>
            <w:top w:w="0" w:type="dxa"/>
            <w:left w:w="0" w:type="dxa"/>
            <w:bottom w:w="0" w:type="dxa"/>
            <w:right w:w="0" w:type="dxa"/>
          </w:tblCellMar>
        </w:tblPrEx>
        <w:trPr>
          <w:trHeight w:val="818" w:hRule="atLeast"/>
        </w:trPr>
        <w:tc>
          <w:tcPr>
            <w:tcW w:w="1134" w:type="dxa"/>
            <w:tcBorders>
              <w:top w:val="single" w:color="000000" w:sz="4" w:space="0"/>
              <w:left w:val="single" w:color="00AFEF" w:sz="4" w:space="0"/>
              <w:bottom w:val="single" w:color="00AFEF" w:sz="4" w:space="0"/>
              <w:right w:val="single" w:color="00AFEF" w:sz="4" w:space="0"/>
            </w:tcBorders>
          </w:tcPr>
          <w:p>
            <w:pPr>
              <w:pStyle w:val="6"/>
              <w:spacing w:before="2"/>
              <w:rPr>
                <w:rFonts w:ascii="Times New Roman"/>
                <w:sz w:val="21"/>
              </w:rPr>
            </w:pPr>
          </w:p>
          <w:p>
            <w:pPr>
              <w:pStyle w:val="6"/>
              <w:ind w:right="192"/>
              <w:jc w:val="right"/>
              <w:rPr>
                <w:b/>
                <w:sz w:val="24"/>
              </w:rPr>
            </w:pPr>
            <w:r>
              <w:rPr>
                <w:b/>
                <w:w w:val="95"/>
                <w:sz w:val="24"/>
              </w:rPr>
              <w:t>第六天</w:t>
            </w:r>
          </w:p>
        </w:tc>
        <w:tc>
          <w:tcPr>
            <w:tcW w:w="7371" w:type="dxa"/>
            <w:tcBorders>
              <w:top w:val="single" w:color="000000" w:sz="4" w:space="0"/>
              <w:left w:val="single" w:color="00AFEF" w:sz="4" w:space="0"/>
              <w:bottom w:val="single" w:color="00AFEF" w:sz="4" w:space="0"/>
              <w:right w:val="single" w:color="00AFEF" w:sz="4" w:space="0"/>
            </w:tcBorders>
          </w:tcPr>
          <w:p>
            <w:pPr>
              <w:pStyle w:val="6"/>
              <w:spacing w:before="4"/>
              <w:rPr>
                <w:rFonts w:ascii="Times New Roman"/>
                <w:sz w:val="21"/>
              </w:rPr>
            </w:pPr>
          </w:p>
          <w:p>
            <w:pPr>
              <w:pStyle w:val="6"/>
              <w:spacing w:before="1"/>
              <w:ind w:left="107"/>
              <w:rPr>
                <w:sz w:val="24"/>
              </w:rPr>
            </w:pPr>
            <w:r>
              <w:rPr>
                <w:sz w:val="24"/>
              </w:rPr>
              <w:t>根据返程时间安排返程，回到温馨的家，结束难忘的之旅！</w:t>
            </w:r>
          </w:p>
        </w:tc>
        <w:tc>
          <w:tcPr>
            <w:tcW w:w="851" w:type="dxa"/>
            <w:tcBorders>
              <w:top w:val="single" w:color="000000" w:sz="4" w:space="0"/>
              <w:left w:val="single" w:color="00AFEF" w:sz="4" w:space="0"/>
              <w:bottom w:val="single" w:color="00AFEF" w:sz="4" w:space="0"/>
              <w:right w:val="single" w:color="00AFEF" w:sz="4" w:space="0"/>
            </w:tcBorders>
          </w:tcPr>
          <w:p>
            <w:pPr>
              <w:pStyle w:val="6"/>
              <w:spacing w:before="2"/>
              <w:rPr>
                <w:rFonts w:ascii="Times New Roman"/>
                <w:sz w:val="20"/>
              </w:rPr>
            </w:pPr>
          </w:p>
          <w:p>
            <w:pPr>
              <w:pStyle w:val="6"/>
              <w:ind w:left="6"/>
              <w:jc w:val="center"/>
              <w:rPr>
                <w:b/>
                <w:sz w:val="24"/>
              </w:rPr>
            </w:pPr>
            <w:r>
              <w:rPr>
                <w:b/>
                <w:w w:val="99"/>
                <w:sz w:val="24"/>
              </w:rPr>
              <w:t>早</w:t>
            </w:r>
          </w:p>
        </w:tc>
        <w:tc>
          <w:tcPr>
            <w:tcW w:w="850" w:type="dxa"/>
            <w:tcBorders>
              <w:top w:val="single" w:color="000000" w:sz="4" w:space="0"/>
              <w:left w:val="single" w:color="00AFEF" w:sz="4" w:space="0"/>
              <w:bottom w:val="single" w:color="00AFEF" w:sz="4" w:space="0"/>
              <w:right w:val="single" w:color="00AFEF" w:sz="4" w:space="0"/>
            </w:tcBorders>
          </w:tcPr>
          <w:p>
            <w:pPr>
              <w:pStyle w:val="6"/>
              <w:rPr>
                <w:rFonts w:ascii="Times New Roman"/>
                <w:sz w:val="24"/>
              </w:rPr>
            </w:pPr>
          </w:p>
        </w:tc>
      </w:tr>
      <w:tr>
        <w:tblPrEx>
          <w:tblBorders>
            <w:top w:val="single" w:color="006FC0" w:sz="4" w:space="0"/>
            <w:left w:val="single" w:color="006FC0" w:sz="4" w:space="0"/>
            <w:bottom w:val="single" w:color="006FC0" w:sz="4" w:space="0"/>
            <w:right w:val="single" w:color="006FC0" w:sz="4" w:space="0"/>
            <w:insideH w:val="single" w:color="006FC0" w:sz="4" w:space="0"/>
            <w:insideV w:val="single" w:color="006FC0" w:sz="4" w:space="0"/>
          </w:tblBorders>
          <w:tblCellMar>
            <w:top w:w="0" w:type="dxa"/>
            <w:left w:w="0" w:type="dxa"/>
            <w:bottom w:w="0" w:type="dxa"/>
            <w:right w:w="0" w:type="dxa"/>
          </w:tblCellMar>
        </w:tblPrEx>
        <w:trPr>
          <w:trHeight w:val="277" w:hRule="atLeast"/>
        </w:trPr>
        <w:tc>
          <w:tcPr>
            <w:tcW w:w="10206" w:type="dxa"/>
            <w:gridSpan w:val="4"/>
            <w:tcBorders>
              <w:top w:val="nil"/>
            </w:tcBorders>
            <w:shd w:val="clear" w:color="auto" w:fill="00AFEF"/>
          </w:tcPr>
          <w:p>
            <w:pPr>
              <w:pStyle w:val="6"/>
              <w:spacing w:line="258" w:lineRule="exact"/>
              <w:ind w:left="108"/>
              <w:rPr>
                <w:b/>
                <w:sz w:val="28"/>
              </w:rPr>
            </w:pPr>
            <w:r>
              <w:rPr>
                <w:b/>
                <w:color w:val="FFFF00"/>
                <w:sz w:val="28"/>
              </w:rPr>
              <w:t>三、接待标准及参团须知：</w:t>
            </w:r>
          </w:p>
        </w:tc>
      </w:tr>
    </w:tbl>
    <w:p>
      <w:pPr>
        <w:spacing w:after="0" w:line="258" w:lineRule="exact"/>
        <w:rPr>
          <w:sz w:val="28"/>
        </w:rPr>
        <w:sectPr>
          <w:pgSz w:w="11910" w:h="16840"/>
          <w:pgMar w:top="860" w:right="740" w:bottom="280" w:left="740" w:header="720" w:footer="720" w:gutter="0"/>
        </w:sectPr>
      </w:pPr>
    </w:p>
    <w:tbl>
      <w:tblPr>
        <w:tblStyle w:val="2"/>
        <w:tblW w:w="0" w:type="auto"/>
        <w:tblInd w:w="116"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0" w:type="dxa"/>
          <w:bottom w:w="0" w:type="dxa"/>
          <w:right w:w="0" w:type="dxa"/>
        </w:tblCellMar>
      </w:tblPr>
      <w:tblGrid>
        <w:gridCol w:w="1134"/>
        <w:gridCol w:w="9072"/>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0" w:type="dxa"/>
            <w:bottom w:w="0" w:type="dxa"/>
            <w:right w:w="0" w:type="dxa"/>
          </w:tblCellMar>
        </w:tblPrEx>
        <w:trPr>
          <w:trHeight w:val="4700" w:hRule="atLeast"/>
        </w:trPr>
        <w:tc>
          <w:tcPr>
            <w:tcW w:w="1134" w:type="dxa"/>
          </w:tcPr>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spacing w:before="6"/>
              <w:rPr>
                <w:rFonts w:ascii="Times New Roman"/>
                <w:sz w:val="32"/>
              </w:rPr>
            </w:pPr>
          </w:p>
          <w:p>
            <w:pPr>
              <w:pStyle w:val="6"/>
              <w:spacing w:line="280" w:lineRule="auto"/>
              <w:ind w:left="327" w:right="314"/>
              <w:rPr>
                <w:b/>
                <w:sz w:val="24"/>
              </w:rPr>
            </w:pPr>
            <w:r>
              <w:rPr>
                <w:b/>
                <w:color w:val="D50092"/>
                <w:sz w:val="24"/>
              </w:rPr>
              <w:t>接待标准</w:t>
            </w:r>
          </w:p>
        </w:tc>
        <w:tc>
          <w:tcPr>
            <w:tcW w:w="9072" w:type="dxa"/>
          </w:tcPr>
          <w:p>
            <w:pPr>
              <w:pStyle w:val="6"/>
              <w:spacing w:before="9"/>
              <w:rPr>
                <w:rFonts w:ascii="Times New Roman"/>
                <w:sz w:val="16"/>
              </w:rPr>
            </w:pPr>
          </w:p>
          <w:p>
            <w:pPr>
              <w:pStyle w:val="6"/>
              <w:tabs>
                <w:tab w:val="left" w:pos="2941"/>
              </w:tabs>
              <w:spacing w:line="321" w:lineRule="auto"/>
              <w:ind w:left="1053" w:right="132" w:hanging="946"/>
              <w:rPr>
                <w:sz w:val="21"/>
              </w:rPr>
            </w:pPr>
            <w:r>
              <w:rPr>
                <w:sz w:val="21"/>
              </w:rPr>
              <w:t>1、住宿：全程准四酒店标间</w:t>
            </w:r>
            <w:r>
              <w:rPr>
                <w:sz w:val="21"/>
              </w:rPr>
              <w:tab/>
            </w:r>
            <w:r>
              <w:rPr>
                <w:sz w:val="21"/>
              </w:rPr>
              <w:t>（若出现单人或单男单女时，需补房差</w:t>
            </w:r>
            <w:r>
              <w:rPr>
                <w:spacing w:val="-59"/>
                <w:sz w:val="21"/>
              </w:rPr>
              <w:t xml:space="preserve"> </w:t>
            </w:r>
            <w:r>
              <w:rPr>
                <w:sz w:val="21"/>
              </w:rPr>
              <w:t>450</w:t>
            </w:r>
            <w:r>
              <w:rPr>
                <w:spacing w:val="-58"/>
                <w:sz w:val="21"/>
              </w:rPr>
              <w:t xml:space="preserve"> </w:t>
            </w:r>
            <w:r>
              <w:rPr>
                <w:sz w:val="21"/>
              </w:rPr>
              <w:t>元人,如酒店有三人房或加床，则不需补房差）</w:t>
            </w:r>
          </w:p>
          <w:p>
            <w:pPr>
              <w:pStyle w:val="6"/>
              <w:spacing w:line="321" w:lineRule="auto"/>
              <w:ind w:left="1053" w:right="132" w:hanging="946"/>
              <w:rPr>
                <w:sz w:val="21"/>
              </w:rPr>
            </w:pPr>
            <w:r>
              <w:rPr>
                <w:sz w:val="21"/>
              </w:rPr>
              <w:t>2、用餐：5</w:t>
            </w:r>
            <w:r>
              <w:rPr>
                <w:spacing w:val="-36"/>
                <w:sz w:val="21"/>
              </w:rPr>
              <w:t xml:space="preserve"> 早 </w:t>
            </w:r>
            <w:r>
              <w:rPr>
                <w:sz w:val="21"/>
              </w:rPr>
              <w:t>8</w:t>
            </w:r>
            <w:r>
              <w:rPr>
                <w:spacing w:val="-28"/>
                <w:sz w:val="21"/>
              </w:rPr>
              <w:t xml:space="preserve"> 正</w:t>
            </w:r>
            <w:r>
              <w:rPr>
                <w:sz w:val="21"/>
              </w:rPr>
              <w:t>（20-25</w:t>
            </w:r>
            <w:r>
              <w:rPr>
                <w:spacing w:val="-14"/>
                <w:sz w:val="21"/>
              </w:rPr>
              <w:t xml:space="preserve"> 餐标，</w:t>
            </w:r>
            <w:r>
              <w:rPr>
                <w:sz w:val="21"/>
              </w:rPr>
              <w:t>10</w:t>
            </w:r>
            <w:r>
              <w:rPr>
                <w:spacing w:val="-12"/>
                <w:sz w:val="21"/>
              </w:rPr>
              <w:t xml:space="preserve"> 人一桌，</w:t>
            </w:r>
            <w:r>
              <w:rPr>
                <w:sz w:val="21"/>
              </w:rPr>
              <w:t>8</w:t>
            </w:r>
            <w:r>
              <w:rPr>
                <w:spacing w:val="-36"/>
                <w:sz w:val="21"/>
              </w:rPr>
              <w:t xml:space="preserve"> 菜 </w:t>
            </w:r>
            <w:r>
              <w:rPr>
                <w:sz w:val="21"/>
              </w:rPr>
              <w:t>1</w:t>
            </w:r>
            <w:r>
              <w:rPr>
                <w:spacing w:val="-14"/>
                <w:sz w:val="21"/>
              </w:rPr>
              <w:t xml:space="preserve"> 汤，若人数不足 </w:t>
            </w:r>
            <w:r>
              <w:rPr>
                <w:sz w:val="21"/>
              </w:rPr>
              <w:t>10</w:t>
            </w:r>
            <w:r>
              <w:rPr>
                <w:spacing w:val="-8"/>
                <w:sz w:val="21"/>
              </w:rPr>
              <w:t xml:space="preserve"> 人,则减少菜的数量或调整菜单；</w:t>
            </w:r>
            <w:r>
              <w:rPr>
                <w:color w:val="FF0000"/>
                <w:spacing w:val="-8"/>
                <w:sz w:val="21"/>
              </w:rPr>
              <w:t>如不用餐餐费不退</w:t>
            </w:r>
            <w:r>
              <w:rPr>
                <w:spacing w:val="-8"/>
                <w:sz w:val="21"/>
              </w:rPr>
              <w:t>）</w:t>
            </w:r>
          </w:p>
          <w:p>
            <w:pPr>
              <w:pStyle w:val="6"/>
              <w:spacing w:line="268" w:lineRule="exact"/>
              <w:ind w:left="107"/>
              <w:rPr>
                <w:sz w:val="21"/>
              </w:rPr>
            </w:pPr>
            <w:r>
              <w:rPr>
                <w:sz w:val="21"/>
              </w:rPr>
              <w:t>3、门票：行程所列景点第一大门票，赠送景点不去不退；任何年龄无退费</w:t>
            </w:r>
          </w:p>
          <w:p>
            <w:pPr>
              <w:pStyle w:val="6"/>
              <w:spacing w:before="90"/>
              <w:ind w:left="107"/>
              <w:rPr>
                <w:sz w:val="21"/>
              </w:rPr>
            </w:pPr>
            <w:r>
              <w:rPr>
                <w:sz w:val="21"/>
              </w:rPr>
              <w:t>4、交通：当地全程空调旅游车（按人数定车型保证一人一正座）；</w:t>
            </w:r>
          </w:p>
          <w:p>
            <w:pPr>
              <w:pStyle w:val="6"/>
              <w:spacing w:before="91"/>
              <w:ind w:left="107"/>
              <w:rPr>
                <w:sz w:val="21"/>
              </w:rPr>
            </w:pPr>
            <w:r>
              <w:rPr>
                <w:sz w:val="21"/>
              </w:rPr>
              <w:t>5、导游：行程中所安排导游为持有国家导游资格证，从业经验的优秀人员；</w:t>
            </w:r>
          </w:p>
          <w:p>
            <w:pPr>
              <w:pStyle w:val="6"/>
              <w:spacing w:before="91"/>
              <w:ind w:left="107"/>
              <w:rPr>
                <w:sz w:val="21"/>
              </w:rPr>
            </w:pPr>
            <w:r>
              <w:rPr>
                <w:sz w:val="21"/>
              </w:rPr>
              <w:t>6、安全：含旅行社责任险，保额￥10 万元/人；</w:t>
            </w:r>
          </w:p>
          <w:p>
            <w:pPr>
              <w:pStyle w:val="6"/>
              <w:spacing w:before="35" w:line="280" w:lineRule="auto"/>
              <w:ind w:left="107" w:right="252"/>
              <w:jc w:val="both"/>
              <w:rPr>
                <w:b/>
                <w:sz w:val="21"/>
              </w:rPr>
            </w:pPr>
            <w:r>
              <w:rPr>
                <w:sz w:val="21"/>
              </w:rPr>
              <w:t>7</w:t>
            </w:r>
            <w:r>
              <w:rPr>
                <w:spacing w:val="-2"/>
                <w:sz w:val="21"/>
              </w:rPr>
              <w:t>. 购物：</w:t>
            </w:r>
            <w:r>
              <w:rPr>
                <w:sz w:val="21"/>
              </w:rPr>
              <w:t>5</w:t>
            </w:r>
            <w:r>
              <w:rPr>
                <w:spacing w:val="-21"/>
                <w:sz w:val="21"/>
              </w:rPr>
              <w:t xml:space="preserve"> 选 </w:t>
            </w:r>
            <w:r>
              <w:rPr>
                <w:sz w:val="21"/>
              </w:rPr>
              <w:t>3</w:t>
            </w:r>
            <w:r>
              <w:rPr>
                <w:spacing w:val="-3"/>
                <w:sz w:val="21"/>
              </w:rPr>
              <w:t xml:space="preserve">：丝绸、乳胶馆、玉石、保健品、蜂胶、每店约 </w:t>
            </w:r>
            <w:r>
              <w:rPr>
                <w:sz w:val="21"/>
              </w:rPr>
              <w:t>120</w:t>
            </w:r>
            <w:r>
              <w:rPr>
                <w:spacing w:val="-15"/>
                <w:sz w:val="21"/>
              </w:rPr>
              <w:t xml:space="preserve"> 分钟，</w:t>
            </w:r>
            <w:r>
              <w:rPr>
                <w:b/>
                <w:sz w:val="21"/>
              </w:rPr>
              <w:t>超市不算购物店。</w:t>
            </w:r>
            <w:r>
              <w:rPr>
                <w:b/>
                <w:spacing w:val="-1"/>
                <w:sz w:val="21"/>
              </w:rPr>
              <w:t xml:space="preserve">此行程收客年龄为 </w:t>
            </w:r>
            <w:r>
              <w:rPr>
                <w:b/>
                <w:sz w:val="21"/>
              </w:rPr>
              <w:t>28-70</w:t>
            </w:r>
            <w:r>
              <w:rPr>
                <w:b/>
                <w:spacing w:val="-2"/>
                <w:sz w:val="21"/>
              </w:rPr>
              <w:t xml:space="preserve"> 周岁群，超龄另加 </w:t>
            </w:r>
            <w:r>
              <w:rPr>
                <w:b/>
                <w:sz w:val="21"/>
              </w:rPr>
              <w:t>300</w:t>
            </w:r>
            <w:r>
              <w:rPr>
                <w:b/>
                <w:spacing w:val="-27"/>
                <w:sz w:val="21"/>
              </w:rPr>
              <w:t xml:space="preserve"> 元</w:t>
            </w:r>
            <w:r>
              <w:rPr>
                <w:b/>
                <w:sz w:val="21"/>
              </w:rPr>
              <w:t>/</w:t>
            </w:r>
            <w:r>
              <w:rPr>
                <w:b/>
                <w:spacing w:val="-1"/>
                <w:sz w:val="21"/>
              </w:rPr>
              <w:t>人, 客人中途如需自行脱团，每人需补交100</w:t>
            </w:r>
            <w:r>
              <w:rPr>
                <w:b/>
                <w:spacing w:val="-2"/>
                <w:sz w:val="21"/>
              </w:rPr>
              <w:t xml:space="preserve"> 元</w:t>
            </w:r>
            <w:r>
              <w:rPr>
                <w:b/>
                <w:sz w:val="21"/>
              </w:rPr>
              <w:t>/天！</w:t>
            </w:r>
          </w:p>
          <w:p>
            <w:pPr>
              <w:pStyle w:val="6"/>
              <w:spacing w:line="268" w:lineRule="exact"/>
              <w:ind w:left="107"/>
              <w:rPr>
                <w:b/>
                <w:sz w:val="21"/>
              </w:rPr>
            </w:pPr>
            <w:r>
              <w:rPr>
                <w:b/>
                <w:color w:val="FF0000"/>
                <w:sz w:val="21"/>
              </w:rPr>
              <w:t>无任何强制消费，须配合导游，严禁中途离团</w:t>
            </w:r>
          </w:p>
          <w:p>
            <w:pPr>
              <w:pStyle w:val="6"/>
              <w:spacing w:before="43"/>
              <w:ind w:left="107"/>
              <w:rPr>
                <w:b/>
                <w:sz w:val="21"/>
              </w:rPr>
            </w:pPr>
            <w:r>
              <w:rPr>
                <w:b/>
                <w:color w:val="FF0000"/>
                <w:sz w:val="21"/>
              </w:rPr>
              <w:t>温馨提示：江西安徽提倡绿色环保，景区酒店已实行不免费提供一次性洗漱用品，请游客自备。</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0" w:type="dxa"/>
            <w:bottom w:w="0" w:type="dxa"/>
            <w:right w:w="0" w:type="dxa"/>
          </w:tblCellMar>
        </w:tblPrEx>
        <w:trPr>
          <w:trHeight w:val="3600" w:hRule="atLeast"/>
        </w:trPr>
        <w:tc>
          <w:tcPr>
            <w:tcW w:w="1134" w:type="dxa"/>
          </w:tcPr>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spacing w:before="7"/>
              <w:rPr>
                <w:rFonts w:ascii="Times New Roman"/>
                <w:sz w:val="32"/>
              </w:rPr>
            </w:pPr>
          </w:p>
          <w:p>
            <w:pPr>
              <w:pStyle w:val="6"/>
              <w:spacing w:line="280" w:lineRule="auto"/>
              <w:ind w:left="327" w:right="314"/>
              <w:rPr>
                <w:b/>
                <w:sz w:val="24"/>
              </w:rPr>
            </w:pPr>
            <w:r>
              <w:rPr>
                <w:b/>
                <w:color w:val="D50092"/>
                <w:sz w:val="24"/>
              </w:rPr>
              <w:t>不含项目</w:t>
            </w:r>
          </w:p>
        </w:tc>
        <w:tc>
          <w:tcPr>
            <w:tcW w:w="9072" w:type="dxa"/>
          </w:tcPr>
          <w:p>
            <w:pPr>
              <w:pStyle w:val="6"/>
              <w:spacing w:before="69"/>
              <w:ind w:left="107"/>
              <w:rPr>
                <w:sz w:val="21"/>
              </w:rPr>
            </w:pPr>
            <w:r>
              <w:rPr>
                <w:sz w:val="21"/>
              </w:rPr>
              <w:t>1、自由活动期间交通费、餐费、等私人费用。</w:t>
            </w:r>
          </w:p>
          <w:p>
            <w:pPr>
              <w:pStyle w:val="6"/>
              <w:spacing w:before="91"/>
              <w:ind w:left="107"/>
              <w:rPr>
                <w:sz w:val="21"/>
              </w:rPr>
            </w:pPr>
            <w:r>
              <w:rPr>
                <w:sz w:val="21"/>
              </w:rPr>
              <w:t>2、行程中未提到包含的其它费用：如景区内二道门票、观光车、电瓶车、索道、租赁等费用。</w:t>
            </w:r>
          </w:p>
          <w:p>
            <w:pPr>
              <w:pStyle w:val="6"/>
              <w:spacing w:before="91" w:line="321" w:lineRule="auto"/>
              <w:ind w:left="426" w:right="29" w:hanging="320"/>
              <w:rPr>
                <w:sz w:val="21"/>
              </w:rPr>
            </w:pPr>
            <w:r>
              <w:rPr>
                <w:w w:val="95"/>
                <w:sz w:val="21"/>
              </w:rPr>
              <w:t xml:space="preserve">3、不提供自然单间，产生单房差或加床费用自理。酒店入住的匙牌押金，非免费餐饮费、洗衣、   </w:t>
            </w:r>
            <w:r>
              <w:rPr>
                <w:sz w:val="21"/>
              </w:rPr>
              <w:t>电话、饮料、烟酒、付费电视、行李搬运等费用。</w:t>
            </w:r>
          </w:p>
          <w:p>
            <w:pPr>
              <w:pStyle w:val="6"/>
              <w:spacing w:line="268" w:lineRule="exact"/>
              <w:ind w:left="107"/>
              <w:rPr>
                <w:sz w:val="21"/>
              </w:rPr>
            </w:pPr>
            <w:r>
              <w:rPr>
                <w:sz w:val="21"/>
              </w:rPr>
              <w:t>4、客人自选个人消费项目，及“旅游费用包含”内容以外的所有费用；</w:t>
            </w:r>
          </w:p>
          <w:p>
            <w:pPr>
              <w:pStyle w:val="6"/>
              <w:spacing w:before="91"/>
              <w:ind w:left="107"/>
              <w:rPr>
                <w:sz w:val="21"/>
              </w:rPr>
            </w:pPr>
            <w:r>
              <w:rPr>
                <w:w w:val="95"/>
                <w:sz w:val="21"/>
              </w:rPr>
              <w:t>5、儿童的“旅游费用包含”内容以外的所有费用。例如产生超高餐费、门票等需客人另付！</w:t>
            </w:r>
          </w:p>
          <w:p>
            <w:pPr>
              <w:pStyle w:val="6"/>
              <w:spacing w:before="91"/>
              <w:ind w:left="107"/>
              <w:rPr>
                <w:sz w:val="21"/>
              </w:rPr>
            </w:pPr>
            <w:r>
              <w:rPr>
                <w:w w:val="95"/>
                <w:sz w:val="21"/>
              </w:rPr>
              <w:t>6、因交通延误、取消等意外事件或不可抗力原因导致的额外费用，及个人所产生的费用等。</w:t>
            </w:r>
          </w:p>
          <w:p>
            <w:pPr>
              <w:pStyle w:val="6"/>
              <w:spacing w:before="91" w:line="321" w:lineRule="auto"/>
              <w:ind w:left="421" w:right="98" w:hanging="315"/>
              <w:rPr>
                <w:sz w:val="21"/>
              </w:rPr>
            </w:pPr>
            <w:r>
              <w:rPr>
                <w:w w:val="95"/>
                <w:sz w:val="21"/>
              </w:rPr>
              <w:t>7</w:t>
            </w:r>
            <w:r>
              <w:rPr>
                <w:spacing w:val="-9"/>
                <w:w w:val="95"/>
                <w:sz w:val="21"/>
              </w:rPr>
              <w:t xml:space="preserve">、航空保险、旅游意外保险；因旅游者违约、自身过错、自身疾病，导致的人身财产损失而额外   </w:t>
            </w:r>
            <w:r>
              <w:rPr>
                <w:spacing w:val="-9"/>
                <w:sz w:val="21"/>
              </w:rPr>
              <w:t>支付的费用。</w:t>
            </w:r>
          </w:p>
          <w:p>
            <w:pPr>
              <w:pStyle w:val="6"/>
              <w:spacing w:line="268" w:lineRule="exact"/>
              <w:ind w:left="107"/>
              <w:rPr>
                <w:sz w:val="21"/>
              </w:rPr>
            </w:pPr>
            <w:r>
              <w:rPr>
                <w:sz w:val="21"/>
              </w:rPr>
              <w:t>8、因旅游者违约、自身过错、自身疾病导致的人身财产损失而额外支付的费用；</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0" w:type="dxa"/>
            <w:bottom w:w="0" w:type="dxa"/>
            <w:right w:w="0" w:type="dxa"/>
          </w:tblCellMar>
        </w:tblPrEx>
        <w:trPr>
          <w:trHeight w:val="720" w:hRule="atLeast"/>
        </w:trPr>
        <w:tc>
          <w:tcPr>
            <w:tcW w:w="1134" w:type="dxa"/>
          </w:tcPr>
          <w:p>
            <w:pPr>
              <w:pStyle w:val="6"/>
              <w:spacing w:before="39"/>
              <w:ind w:left="327"/>
              <w:rPr>
                <w:b/>
                <w:sz w:val="24"/>
              </w:rPr>
            </w:pPr>
            <w:r>
              <w:rPr>
                <w:b/>
                <w:color w:val="D50092"/>
                <w:w w:val="95"/>
                <w:sz w:val="24"/>
              </w:rPr>
              <w:t>优惠</w:t>
            </w:r>
          </w:p>
          <w:p>
            <w:pPr>
              <w:pStyle w:val="6"/>
              <w:spacing w:before="52" w:line="301" w:lineRule="exact"/>
              <w:ind w:left="327"/>
              <w:rPr>
                <w:b/>
                <w:sz w:val="24"/>
              </w:rPr>
            </w:pPr>
            <w:r>
              <w:rPr>
                <w:b/>
                <w:color w:val="D50092"/>
                <w:w w:val="95"/>
                <w:sz w:val="24"/>
              </w:rPr>
              <w:t>说明</w:t>
            </w:r>
          </w:p>
        </w:tc>
        <w:tc>
          <w:tcPr>
            <w:tcW w:w="9072" w:type="dxa"/>
          </w:tcPr>
          <w:p>
            <w:pPr>
              <w:pStyle w:val="6"/>
              <w:spacing w:before="7"/>
              <w:rPr>
                <w:rFonts w:ascii="Times New Roman"/>
                <w:sz w:val="21"/>
              </w:rPr>
            </w:pPr>
          </w:p>
          <w:p>
            <w:pPr>
              <w:pStyle w:val="6"/>
              <w:ind w:left="107"/>
              <w:rPr>
                <w:b/>
                <w:sz w:val="21"/>
              </w:rPr>
            </w:pPr>
            <w:r>
              <w:rPr>
                <w:b/>
                <w:color w:val="FF0000"/>
                <w:sz w:val="21"/>
              </w:rPr>
              <w:t>此线路全程无优惠退费，不去不退</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0" w:type="dxa"/>
            <w:bottom w:w="0" w:type="dxa"/>
            <w:right w:w="0" w:type="dxa"/>
          </w:tblCellMar>
        </w:tblPrEx>
        <w:trPr>
          <w:trHeight w:val="5758" w:hRule="atLeast"/>
        </w:trPr>
        <w:tc>
          <w:tcPr>
            <w:tcW w:w="1134" w:type="dxa"/>
          </w:tcPr>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spacing w:before="8"/>
              <w:rPr>
                <w:rFonts w:ascii="Times New Roman"/>
                <w:sz w:val="30"/>
              </w:rPr>
            </w:pPr>
          </w:p>
          <w:p>
            <w:pPr>
              <w:pStyle w:val="6"/>
              <w:spacing w:line="280" w:lineRule="auto"/>
              <w:ind w:left="327" w:right="314"/>
              <w:rPr>
                <w:b/>
                <w:sz w:val="24"/>
              </w:rPr>
            </w:pPr>
            <w:r>
              <w:rPr>
                <w:b/>
                <w:color w:val="D50092"/>
                <w:sz w:val="24"/>
              </w:rPr>
              <w:t>报名须知</w:t>
            </w:r>
          </w:p>
        </w:tc>
        <w:tc>
          <w:tcPr>
            <w:tcW w:w="9072" w:type="dxa"/>
          </w:tcPr>
          <w:p>
            <w:pPr>
              <w:pStyle w:val="6"/>
              <w:spacing w:before="68"/>
              <w:ind w:left="107"/>
              <w:rPr>
                <w:sz w:val="21"/>
              </w:rPr>
            </w:pPr>
            <w:r>
              <w:rPr>
                <w:sz w:val="21"/>
              </w:rPr>
              <w:t>1、旅行社确保火车票，客人不能对火车票铺位及车次有特殊要求！</w:t>
            </w:r>
          </w:p>
          <w:p>
            <w:pPr>
              <w:pStyle w:val="6"/>
              <w:spacing w:before="91"/>
              <w:ind w:left="107"/>
              <w:rPr>
                <w:sz w:val="21"/>
              </w:rPr>
            </w:pPr>
            <w:r>
              <w:rPr>
                <w:sz w:val="21"/>
              </w:rPr>
              <w:t>2、此团为散客当地拼团，不派全陪领队，</w:t>
            </w:r>
          </w:p>
          <w:p>
            <w:pPr>
              <w:pStyle w:val="6"/>
              <w:spacing w:before="91" w:line="321" w:lineRule="auto"/>
              <w:ind w:left="421" w:right="98" w:hanging="315"/>
              <w:jc w:val="both"/>
              <w:rPr>
                <w:sz w:val="21"/>
              </w:rPr>
            </w:pPr>
            <w:r>
              <w:rPr>
                <w:sz w:val="21"/>
              </w:rPr>
              <w:t>3</w:t>
            </w:r>
            <w:r>
              <w:rPr>
                <w:spacing w:val="-6"/>
                <w:sz w:val="21"/>
              </w:rPr>
              <w:t xml:space="preserve">、此团最低成团人数 </w:t>
            </w:r>
            <w:r>
              <w:rPr>
                <w:sz w:val="21"/>
              </w:rPr>
              <w:t>10</w:t>
            </w:r>
            <w:r>
              <w:rPr>
                <w:spacing w:val="-10"/>
                <w:sz w:val="21"/>
              </w:rPr>
              <w:t xml:space="preserve"> 成人即可成团，如因人数不足导致无法成团，本公司会提前 </w:t>
            </w:r>
            <w:r>
              <w:rPr>
                <w:sz w:val="21"/>
              </w:rPr>
              <w:t>7</w:t>
            </w:r>
            <w:r>
              <w:rPr>
                <w:spacing w:val="-12"/>
                <w:sz w:val="21"/>
              </w:rPr>
              <w:t xml:space="preserve"> 天通知客</w:t>
            </w:r>
            <w:r>
              <w:rPr>
                <w:spacing w:val="-10"/>
                <w:w w:val="95"/>
                <w:sz w:val="21"/>
              </w:rPr>
              <w:t xml:space="preserve">人，客人可选择延期出发、更改线路出行、或退回所交团款。上述办法执行又无法成团，我社   </w:t>
            </w:r>
            <w:r>
              <w:rPr>
                <w:spacing w:val="-12"/>
                <w:sz w:val="21"/>
              </w:rPr>
              <w:t xml:space="preserve">仅退回团款，不承担违约责任。游客报名出团前 </w:t>
            </w:r>
            <w:r>
              <w:rPr>
                <w:sz w:val="21"/>
              </w:rPr>
              <w:t>72</w:t>
            </w:r>
            <w:r>
              <w:rPr>
                <w:spacing w:val="-13"/>
                <w:sz w:val="21"/>
              </w:rPr>
              <w:t xml:space="preserve"> 小时内取消需承担 </w:t>
            </w:r>
            <w:r>
              <w:rPr>
                <w:sz w:val="21"/>
              </w:rPr>
              <w:t>300</w:t>
            </w:r>
            <w:r>
              <w:rPr>
                <w:spacing w:val="-12"/>
                <w:sz w:val="21"/>
              </w:rPr>
              <w:t xml:space="preserve"> 元人车损</w:t>
            </w:r>
          </w:p>
          <w:p>
            <w:pPr>
              <w:pStyle w:val="6"/>
              <w:spacing w:line="267" w:lineRule="exact"/>
              <w:ind w:left="107"/>
              <w:rPr>
                <w:sz w:val="21"/>
              </w:rPr>
            </w:pPr>
            <w:r>
              <w:rPr>
                <w:sz w:val="21"/>
              </w:rPr>
              <w:t>4、请游客在报名时，准确登记姓名及身份证等号码（小孩出生年月），并在出游时携带有效证件</w:t>
            </w:r>
          </w:p>
          <w:p>
            <w:pPr>
              <w:pStyle w:val="6"/>
              <w:spacing w:before="91" w:line="321" w:lineRule="auto"/>
              <w:ind w:left="421" w:right="98"/>
              <w:rPr>
                <w:sz w:val="21"/>
              </w:rPr>
            </w:pPr>
            <w:r>
              <w:rPr>
                <w:w w:val="95"/>
                <w:sz w:val="21"/>
              </w:rPr>
              <w:t>（</w:t>
            </w:r>
            <w:r>
              <w:rPr>
                <w:spacing w:val="-5"/>
                <w:w w:val="95"/>
                <w:sz w:val="21"/>
              </w:rPr>
              <w:t>身份证、户口本、护照、回乡证等</w:t>
            </w:r>
            <w:r>
              <w:rPr>
                <w:spacing w:val="-12"/>
                <w:w w:val="95"/>
                <w:sz w:val="21"/>
              </w:rPr>
              <w:t>）</w:t>
            </w:r>
            <w:r>
              <w:rPr>
                <w:spacing w:val="-4"/>
                <w:w w:val="95"/>
                <w:sz w:val="21"/>
              </w:rPr>
              <w:t xml:space="preserve">，如因个人原因而引发无法出行及一切经济损失，责任   </w:t>
            </w:r>
            <w:r>
              <w:rPr>
                <w:spacing w:val="-4"/>
                <w:sz w:val="21"/>
              </w:rPr>
              <w:t>自负：</w:t>
            </w:r>
          </w:p>
          <w:p>
            <w:pPr>
              <w:pStyle w:val="6"/>
              <w:spacing w:line="321" w:lineRule="auto"/>
              <w:ind w:left="421" w:right="96" w:hanging="315"/>
              <w:jc w:val="both"/>
              <w:rPr>
                <w:sz w:val="21"/>
              </w:rPr>
            </w:pPr>
            <w:r>
              <w:rPr>
                <w:w w:val="95"/>
                <w:sz w:val="21"/>
              </w:rPr>
              <w:t>5</w:t>
            </w:r>
            <w:r>
              <w:rPr>
                <w:spacing w:val="-8"/>
                <w:w w:val="95"/>
                <w:sz w:val="21"/>
              </w:rPr>
              <w:t xml:space="preserve">、建议客人出游前购买旅游意外保险；潜水、自驾车、骑马、滑雪、漂流、攀岩等高风险项目旅   </w:t>
            </w:r>
            <w:r>
              <w:rPr>
                <w:spacing w:val="-11"/>
                <w:w w:val="95"/>
                <w:sz w:val="21"/>
              </w:rPr>
              <w:t xml:space="preserve">行社在此特别提醒，建议投保高风险意外险种。根据中国保监会规定：意外保险投保承保年龄   </w:t>
            </w:r>
            <w:r>
              <w:rPr>
                <w:spacing w:val="-19"/>
                <w:sz w:val="21"/>
              </w:rPr>
              <w:t xml:space="preserve">范围调整为 </w:t>
            </w:r>
            <w:r>
              <w:rPr>
                <w:sz w:val="21"/>
              </w:rPr>
              <w:t>2-75</w:t>
            </w:r>
            <w:r>
              <w:rPr>
                <w:spacing w:val="-19"/>
                <w:sz w:val="21"/>
              </w:rPr>
              <w:t xml:space="preserve"> 周岁，其中 </w:t>
            </w:r>
            <w:r>
              <w:rPr>
                <w:sz w:val="21"/>
              </w:rPr>
              <w:t>70</w:t>
            </w:r>
            <w:r>
              <w:rPr>
                <w:spacing w:val="-12"/>
                <w:sz w:val="21"/>
              </w:rPr>
              <w:t xml:space="preserve"> 周岁以上游客出险按保额的 </w:t>
            </w:r>
            <w:r>
              <w:rPr>
                <w:sz w:val="21"/>
              </w:rPr>
              <w:t>50</w:t>
            </w:r>
            <w:r>
              <w:rPr>
                <w:spacing w:val="-2"/>
                <w:sz w:val="21"/>
              </w:rPr>
              <w:t>%赔付，属于急性病的只承担医疗费用，不再承担其他保险责任。</w:t>
            </w:r>
          </w:p>
          <w:p>
            <w:pPr>
              <w:pStyle w:val="6"/>
              <w:spacing w:line="321" w:lineRule="auto"/>
              <w:ind w:left="421" w:right="98" w:hanging="315"/>
              <w:rPr>
                <w:sz w:val="21"/>
              </w:rPr>
            </w:pPr>
            <w:r>
              <w:rPr>
                <w:w w:val="95"/>
                <w:sz w:val="21"/>
              </w:rPr>
              <w:t>6</w:t>
            </w:r>
            <w:r>
              <w:rPr>
                <w:spacing w:val="-8"/>
                <w:w w:val="95"/>
                <w:sz w:val="21"/>
              </w:rPr>
              <w:t xml:space="preserve">、有些景区景点对于军人、老人、儿童等特定人群有一定优惠，请旅游者提前向导游出示证件以   </w:t>
            </w:r>
            <w:r>
              <w:rPr>
                <w:spacing w:val="-8"/>
                <w:sz w:val="21"/>
              </w:rPr>
              <w:t>便导游购买优惠门票，如购买门票后再向导游出示，将不能享受优惠。</w:t>
            </w:r>
          </w:p>
          <w:p>
            <w:pPr>
              <w:pStyle w:val="6"/>
              <w:spacing w:line="268" w:lineRule="exact"/>
              <w:ind w:right="96"/>
              <w:jc w:val="right"/>
              <w:rPr>
                <w:sz w:val="21"/>
              </w:rPr>
            </w:pPr>
            <w:r>
              <w:rPr>
                <w:w w:val="95"/>
                <w:sz w:val="21"/>
              </w:rPr>
              <w:t>7</w:t>
            </w:r>
            <w:r>
              <w:rPr>
                <w:spacing w:val="-7"/>
                <w:w w:val="95"/>
                <w:sz w:val="21"/>
              </w:rPr>
              <w:t>、请贵宾报名前确认自身健康状况是否适合此次行程。说明：因个人既有病史和身体残障在旅游</w:t>
            </w:r>
          </w:p>
          <w:p>
            <w:pPr>
              <w:pStyle w:val="6"/>
              <w:spacing w:before="88"/>
              <w:ind w:right="96"/>
              <w:jc w:val="right"/>
              <w:rPr>
                <w:sz w:val="21"/>
              </w:rPr>
            </w:pPr>
            <w:r>
              <w:rPr>
                <w:spacing w:val="-4"/>
                <w:w w:val="95"/>
                <w:sz w:val="21"/>
              </w:rPr>
              <w:t>行程中引起的疾病进一步发作和伤亡，旅行社不承担任何责任，现有的保险公司责任险和意外</w:t>
            </w:r>
          </w:p>
        </w:tc>
      </w:tr>
    </w:tbl>
    <w:p>
      <w:pPr>
        <w:spacing w:after="0"/>
        <w:jc w:val="right"/>
        <w:rPr>
          <w:sz w:val="21"/>
        </w:rPr>
        <w:sectPr>
          <w:pgSz w:w="11910" w:h="16840"/>
          <w:pgMar w:top="860" w:right="740" w:bottom="280" w:left="740" w:header="720" w:footer="720" w:gutter="0"/>
        </w:sectPr>
      </w:pPr>
    </w:p>
    <w:tbl>
      <w:tblPr>
        <w:tblStyle w:val="2"/>
        <w:tblW w:w="0" w:type="auto"/>
        <w:tblInd w:w="116"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0" w:type="dxa"/>
          <w:bottom w:w="0" w:type="dxa"/>
          <w:right w:w="0" w:type="dxa"/>
        </w:tblCellMar>
      </w:tblPr>
      <w:tblGrid>
        <w:gridCol w:w="1134"/>
        <w:gridCol w:w="9072"/>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0" w:type="dxa"/>
            <w:bottom w:w="0" w:type="dxa"/>
            <w:right w:w="0" w:type="dxa"/>
          </w:tblCellMar>
        </w:tblPrEx>
        <w:trPr>
          <w:trHeight w:val="11160" w:hRule="atLeast"/>
        </w:trPr>
        <w:tc>
          <w:tcPr>
            <w:tcW w:w="1134" w:type="dxa"/>
          </w:tcPr>
          <w:p>
            <w:pPr>
              <w:pStyle w:val="6"/>
              <w:rPr>
                <w:rFonts w:ascii="Times New Roman"/>
                <w:sz w:val="20"/>
              </w:rPr>
            </w:pPr>
          </w:p>
        </w:tc>
        <w:tc>
          <w:tcPr>
            <w:tcW w:w="9072" w:type="dxa"/>
          </w:tcPr>
          <w:p>
            <w:pPr>
              <w:pStyle w:val="6"/>
              <w:spacing w:before="68" w:line="321" w:lineRule="auto"/>
              <w:ind w:left="421" w:right="96"/>
              <w:jc w:val="both"/>
              <w:rPr>
                <w:sz w:val="21"/>
              </w:rPr>
            </w:pPr>
            <w:r>
              <w:rPr>
                <w:spacing w:val="-7"/>
                <w:w w:val="95"/>
                <w:sz w:val="21"/>
              </w:rPr>
              <w:t xml:space="preserve">险条款中，此种情况也列入保险公司的免赔范围。旅行社为非健康医疗专业咨询机构，无法判   </w:t>
            </w:r>
            <w:r>
              <w:rPr>
                <w:spacing w:val="-10"/>
                <w:w w:val="95"/>
                <w:sz w:val="21"/>
              </w:rPr>
              <w:t xml:space="preserve">定游客的身体健康状况是否适合参加本次旅游活动，游客在旅行社签订旅游合同，即视为游客   </w:t>
            </w:r>
            <w:r>
              <w:rPr>
                <w:spacing w:val="-12"/>
                <w:w w:val="95"/>
                <w:sz w:val="21"/>
              </w:rPr>
              <w:t xml:space="preserve">已经了解本次旅行的辛苦程度和行程中医疗条件有限的前提，并征得专业医生的同意。①报名   </w:t>
            </w:r>
            <w:r>
              <w:rPr>
                <w:spacing w:val="-14"/>
                <w:w w:val="95"/>
                <w:sz w:val="21"/>
              </w:rPr>
              <w:t xml:space="preserve">时旅游者应确保身体健康，保证自身条件能够完成旅游活动，身体健康状况不佳者，请咨询医   </w:t>
            </w:r>
            <w:r>
              <w:rPr>
                <w:spacing w:val="-16"/>
                <w:w w:val="95"/>
                <w:sz w:val="21"/>
              </w:rPr>
              <w:t xml:space="preserve">生是否可以参加本次旅游活动，根据自身情况备好常用药和急救药品，因自身疾病而引起的后   </w:t>
            </w:r>
            <w:r>
              <w:rPr>
                <w:spacing w:val="-10"/>
                <w:w w:val="95"/>
                <w:sz w:val="21"/>
              </w:rPr>
              <w:t xml:space="preserve">果，游客自行承担责任。②游客出现急症请主动通知工作人员，旅行社将协助游客就进送往当   </w:t>
            </w:r>
            <w:r>
              <w:rPr>
                <w:spacing w:val="-13"/>
                <w:w w:val="95"/>
                <w:sz w:val="21"/>
              </w:rPr>
              <w:t xml:space="preserve">地医疗机构检查治疗。③有听力、视力障碍的游客须有健康旅伴陪同方可参团，个人有精神疾   </w:t>
            </w:r>
            <w:r>
              <w:rPr>
                <w:spacing w:val="-13"/>
                <w:sz w:val="21"/>
              </w:rPr>
              <w:t>病和无行为控制能力的不能报名参团！</w:t>
            </w:r>
          </w:p>
          <w:p>
            <w:pPr>
              <w:pStyle w:val="6"/>
              <w:spacing w:line="321" w:lineRule="auto"/>
              <w:ind w:left="421" w:right="-15" w:hanging="315"/>
              <w:rPr>
                <w:sz w:val="21"/>
              </w:rPr>
            </w:pPr>
            <w:r>
              <w:rPr>
                <w:sz w:val="21"/>
              </w:rPr>
              <w:t>8</w:t>
            </w:r>
            <w:r>
              <w:rPr>
                <w:spacing w:val="-2"/>
                <w:sz w:val="21"/>
              </w:rPr>
              <w:t xml:space="preserve">、此线路不接受孕妇、患有传染病等可能危害其他旅游者健康和安全的客人及 </w:t>
            </w:r>
            <w:r>
              <w:rPr>
                <w:sz w:val="21"/>
              </w:rPr>
              <w:t>80</w:t>
            </w:r>
            <w:r>
              <w:rPr>
                <w:spacing w:val="-9"/>
                <w:sz w:val="21"/>
              </w:rPr>
              <w:t xml:space="preserve"> 岁以上游客的</w:t>
            </w:r>
            <w:r>
              <w:rPr>
                <w:spacing w:val="-13"/>
                <w:w w:val="95"/>
                <w:sz w:val="21"/>
              </w:rPr>
              <w:t xml:space="preserve">报名，如有隐瞒自身健康状况而产生意外或导致其他损失，概由游客承担，旅行社不承担责任；   </w:t>
            </w:r>
            <w:r>
              <w:rPr>
                <w:spacing w:val="-21"/>
                <w:sz w:val="21"/>
              </w:rPr>
              <w:t xml:space="preserve">另外不接受 </w:t>
            </w:r>
            <w:r>
              <w:rPr>
                <w:sz w:val="21"/>
              </w:rPr>
              <w:t>65</w:t>
            </w:r>
            <w:r>
              <w:rPr>
                <w:spacing w:val="-13"/>
                <w:sz w:val="21"/>
              </w:rPr>
              <w:t xml:space="preserve"> 岁以上老人家、</w:t>
            </w:r>
            <w:r>
              <w:rPr>
                <w:sz w:val="21"/>
              </w:rPr>
              <w:t>18</w:t>
            </w:r>
            <w:r>
              <w:rPr>
                <w:spacing w:val="-13"/>
                <w:sz w:val="21"/>
              </w:rPr>
              <w:t xml:space="preserve"> 岁以下未成年人、残障人士、外籍人士等特殊人群单独参团， </w:t>
            </w:r>
            <w:r>
              <w:rPr>
                <w:spacing w:val="-16"/>
                <w:sz w:val="21"/>
              </w:rPr>
              <w:t xml:space="preserve">此类人群需有亲戚朋友、监护人、中文翻译陪同方可参加；并且 </w:t>
            </w:r>
            <w:r>
              <w:rPr>
                <w:sz w:val="21"/>
              </w:rPr>
              <w:t>65</w:t>
            </w:r>
            <w:r>
              <w:rPr>
                <w:spacing w:val="-15"/>
                <w:sz w:val="21"/>
              </w:rPr>
              <w:t xml:space="preserve"> 岁以上老人或 </w:t>
            </w:r>
            <w:r>
              <w:rPr>
                <w:sz w:val="21"/>
              </w:rPr>
              <w:t>18</w:t>
            </w:r>
            <w:r>
              <w:rPr>
                <w:spacing w:val="-12"/>
                <w:sz w:val="21"/>
              </w:rPr>
              <w:t xml:space="preserve"> 岁以下未成年人报名需要签订“健康申明书”。</w:t>
            </w:r>
          </w:p>
          <w:p>
            <w:pPr>
              <w:pStyle w:val="6"/>
              <w:spacing w:line="321" w:lineRule="auto"/>
              <w:ind w:left="421" w:right="96" w:hanging="315"/>
              <w:rPr>
                <w:sz w:val="21"/>
              </w:rPr>
            </w:pPr>
            <w:r>
              <w:rPr>
                <w:w w:val="95"/>
                <w:sz w:val="21"/>
              </w:rPr>
              <w:t>9</w:t>
            </w:r>
            <w:r>
              <w:rPr>
                <w:spacing w:val="-8"/>
                <w:w w:val="95"/>
                <w:sz w:val="21"/>
              </w:rPr>
              <w:t xml:space="preserve">、因是散客拼团，因个人原因不用的餐不能餐费，江西部分景区酒店用晚餐送早餐，若不在入住   </w:t>
            </w:r>
            <w:r>
              <w:rPr>
                <w:spacing w:val="-8"/>
                <w:sz w:val="21"/>
              </w:rPr>
              <w:t>酒店内用晚餐。</w:t>
            </w:r>
          </w:p>
          <w:p>
            <w:pPr>
              <w:pStyle w:val="6"/>
              <w:spacing w:line="321" w:lineRule="auto"/>
              <w:ind w:left="421" w:right="96" w:hanging="315"/>
              <w:jc w:val="both"/>
              <w:rPr>
                <w:sz w:val="21"/>
              </w:rPr>
            </w:pPr>
            <w:r>
              <w:rPr>
                <w:sz w:val="21"/>
              </w:rPr>
              <w:t>10、行程中如自行离团，视为游客单方面解除旅游合同，因自身原因不参加旅行社安排的游览景</w:t>
            </w:r>
            <w:r>
              <w:rPr>
                <w:spacing w:val="-2"/>
                <w:w w:val="95"/>
                <w:sz w:val="21"/>
              </w:rPr>
              <w:t>点或个人原因中途离团，未产生的费用</w:t>
            </w:r>
            <w:r>
              <w:rPr>
                <w:w w:val="95"/>
                <w:sz w:val="21"/>
              </w:rPr>
              <w:t>（</w:t>
            </w:r>
            <w:r>
              <w:rPr>
                <w:spacing w:val="-5"/>
                <w:w w:val="95"/>
                <w:sz w:val="21"/>
              </w:rPr>
              <w:t>如：门票、住宿等</w:t>
            </w:r>
            <w:r>
              <w:rPr>
                <w:spacing w:val="-10"/>
                <w:w w:val="95"/>
                <w:sz w:val="21"/>
              </w:rPr>
              <w:t>）</w:t>
            </w:r>
            <w:r>
              <w:rPr>
                <w:spacing w:val="-2"/>
                <w:w w:val="95"/>
                <w:sz w:val="21"/>
              </w:rPr>
              <w:t xml:space="preserve">一律不退。离团期间安全问题由   </w:t>
            </w:r>
            <w:r>
              <w:rPr>
                <w:spacing w:val="-2"/>
                <w:sz w:val="21"/>
              </w:rPr>
              <w:t>客人自负，请并在离团前签订自愿离团证明。</w:t>
            </w:r>
          </w:p>
          <w:p>
            <w:pPr>
              <w:pStyle w:val="6"/>
              <w:spacing w:line="321" w:lineRule="auto"/>
              <w:ind w:left="421" w:right="132" w:hanging="315"/>
              <w:rPr>
                <w:sz w:val="21"/>
              </w:rPr>
            </w:pPr>
            <w:r>
              <w:rPr>
                <w:w w:val="95"/>
                <w:sz w:val="21"/>
              </w:rPr>
              <w:t xml:space="preserve">11、游客所乘坐的火车车次及在当地入住的准确酒店、集合时间、地点等相关信息我社会提前以   </w:t>
            </w:r>
            <w:r>
              <w:rPr>
                <w:sz w:val="21"/>
              </w:rPr>
              <w:t>出团通知书的形式确认给您，以此为准。</w:t>
            </w:r>
          </w:p>
          <w:p>
            <w:pPr>
              <w:pStyle w:val="6"/>
              <w:spacing w:line="321" w:lineRule="auto"/>
              <w:ind w:left="421" w:right="96" w:hanging="315"/>
              <w:jc w:val="both"/>
              <w:rPr>
                <w:sz w:val="21"/>
              </w:rPr>
            </w:pPr>
            <w:r>
              <w:rPr>
                <w:sz w:val="21"/>
              </w:rPr>
              <w:t>12、请游客认真填写游客意见书。游客签名的意见书将作为处理投诉及反馈意见的重要依据；请</w:t>
            </w:r>
            <w:r>
              <w:rPr>
                <w:spacing w:val="-5"/>
                <w:w w:val="95"/>
                <w:sz w:val="21"/>
              </w:rPr>
              <w:t xml:space="preserve">游客务必认真填写意见书，如不签或签了“满意”而又再回到深圳投诉，请恕我社概不承担责   </w:t>
            </w:r>
            <w:r>
              <w:rPr>
                <w:spacing w:val="-5"/>
                <w:sz w:val="21"/>
              </w:rPr>
              <w:t>任。</w:t>
            </w:r>
          </w:p>
          <w:p>
            <w:pPr>
              <w:pStyle w:val="6"/>
              <w:spacing w:line="321" w:lineRule="auto"/>
              <w:ind w:left="421" w:right="96" w:hanging="315"/>
              <w:jc w:val="both"/>
              <w:rPr>
                <w:sz w:val="21"/>
              </w:rPr>
            </w:pPr>
            <w:r>
              <w:rPr>
                <w:sz w:val="21"/>
              </w:rPr>
              <w:t>13、退团说明：游客报名后因故不能参加本次旅游，国内游可在出发前换人参团，在旅行社重新</w:t>
            </w:r>
            <w:r>
              <w:rPr>
                <w:spacing w:val="-7"/>
                <w:w w:val="95"/>
                <w:sz w:val="21"/>
              </w:rPr>
              <w:t xml:space="preserve">签订合同，但所换游客须承担被换旅游者已出的机票或火车票的实际退票损失费用。如果确认   </w:t>
            </w:r>
            <w:r>
              <w:rPr>
                <w:spacing w:val="-9"/>
                <w:w w:val="95"/>
                <w:sz w:val="21"/>
              </w:rPr>
              <w:t xml:space="preserve">退团，游客须承担旅行社业务预订损失费。如机票和火车票和订房费，因散客操作特殊性，若   </w:t>
            </w:r>
            <w:r>
              <w:rPr>
                <w:spacing w:val="-12"/>
                <w:w w:val="95"/>
                <w:sz w:val="21"/>
              </w:rPr>
              <w:t xml:space="preserve">出现旅游者退团，我社严格按照《团队国内旅游合同》规定来执行，如果按规定比例支付的业   </w:t>
            </w:r>
            <w:r>
              <w:rPr>
                <w:spacing w:val="-15"/>
                <w:w w:val="95"/>
                <w:sz w:val="21"/>
              </w:rPr>
              <w:t xml:space="preserve">务损失费用不足以赔偿旅行社的实际损失，旅游者应当按实际损失对旅行社予以赔偿，但最高   </w:t>
            </w:r>
            <w:r>
              <w:rPr>
                <w:spacing w:val="-15"/>
                <w:sz w:val="21"/>
              </w:rPr>
              <w:t>额不应当超过旅游费用总额。</w:t>
            </w:r>
          </w:p>
          <w:p>
            <w:pPr>
              <w:pStyle w:val="6"/>
              <w:spacing w:line="266" w:lineRule="exact"/>
              <w:ind w:left="89" w:right="113"/>
              <w:jc w:val="center"/>
              <w:rPr>
                <w:sz w:val="21"/>
              </w:rPr>
            </w:pPr>
            <w:r>
              <w:rPr>
                <w:sz w:val="21"/>
              </w:rPr>
              <w:t>14、行程中发生的纠纷，旅游者不得以拒绝登(下)机(车、船)、入住酒店等行为拖延行程或者脱</w:t>
            </w:r>
          </w:p>
          <w:p>
            <w:pPr>
              <w:pStyle w:val="6"/>
              <w:spacing w:before="79"/>
              <w:ind w:left="89" w:right="66"/>
              <w:jc w:val="center"/>
              <w:rPr>
                <w:sz w:val="21"/>
              </w:rPr>
            </w:pPr>
            <w:r>
              <w:rPr>
                <w:sz w:val="21"/>
              </w:rPr>
              <w:t>团，否则，除承担给组团旅行社造成的实际损失外，还要承担旅游费用 20-30%的违约金。</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0" w:type="dxa"/>
            <w:bottom w:w="0" w:type="dxa"/>
            <w:right w:w="0" w:type="dxa"/>
          </w:tblCellMar>
        </w:tblPrEx>
        <w:trPr>
          <w:trHeight w:val="3598" w:hRule="atLeast"/>
        </w:trPr>
        <w:tc>
          <w:tcPr>
            <w:tcW w:w="1134" w:type="dxa"/>
          </w:tcPr>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spacing w:before="8"/>
              <w:rPr>
                <w:rFonts w:ascii="Times New Roman"/>
                <w:sz w:val="32"/>
              </w:rPr>
            </w:pPr>
          </w:p>
          <w:p>
            <w:pPr>
              <w:pStyle w:val="6"/>
              <w:spacing w:line="280" w:lineRule="auto"/>
              <w:ind w:left="327" w:right="314"/>
              <w:rPr>
                <w:b/>
                <w:sz w:val="24"/>
              </w:rPr>
            </w:pPr>
            <w:r>
              <w:rPr>
                <w:b/>
                <w:color w:val="D50092"/>
                <w:sz w:val="24"/>
              </w:rPr>
              <w:t>温馨提示</w:t>
            </w:r>
          </w:p>
        </w:tc>
        <w:tc>
          <w:tcPr>
            <w:tcW w:w="9072" w:type="dxa"/>
          </w:tcPr>
          <w:p>
            <w:pPr>
              <w:pStyle w:val="6"/>
              <w:spacing w:before="68" w:line="321" w:lineRule="auto"/>
              <w:ind w:left="421" w:right="96" w:hanging="315"/>
              <w:jc w:val="both"/>
              <w:rPr>
                <w:sz w:val="21"/>
              </w:rPr>
            </w:pPr>
            <w:r>
              <w:rPr>
                <w:w w:val="95"/>
                <w:sz w:val="21"/>
              </w:rPr>
              <w:t>1</w:t>
            </w:r>
            <w:r>
              <w:rPr>
                <w:spacing w:val="-8"/>
                <w:w w:val="95"/>
                <w:sz w:val="21"/>
              </w:rPr>
              <w:t xml:space="preserve">、餐饮方面：全程用餐的情况会根据游客游览的时间做一个合理的调整，视具体情况而定的；旅   </w:t>
            </w:r>
            <w:r>
              <w:rPr>
                <w:spacing w:val="-12"/>
                <w:w w:val="95"/>
                <w:sz w:val="21"/>
              </w:rPr>
              <w:t xml:space="preserve">游目的地饮食习惯与出发地不同，江西口味重、偏辣且油腻，主食以米饭为主。不一定都能符   合游客的口味；餐厅的服务水准也与广东有一定差距，有需要时请与导游及服务员联系；我们   </w:t>
            </w:r>
            <w:r>
              <w:rPr>
                <w:spacing w:val="-12"/>
                <w:sz w:val="21"/>
              </w:rPr>
              <w:t>将尽快为你解决问题。</w:t>
            </w:r>
          </w:p>
          <w:p>
            <w:pPr>
              <w:pStyle w:val="6"/>
              <w:spacing w:line="321" w:lineRule="auto"/>
              <w:ind w:left="421" w:right="-15" w:hanging="315"/>
              <w:rPr>
                <w:sz w:val="21"/>
              </w:rPr>
            </w:pPr>
            <w:r>
              <w:rPr>
                <w:sz w:val="21"/>
              </w:rPr>
              <w:t>2</w:t>
            </w:r>
            <w:r>
              <w:rPr>
                <w:spacing w:val="-8"/>
                <w:sz w:val="21"/>
              </w:rPr>
              <w:t>、酒店方面：为了提倡环保，现各酒店已经开始逐步取消一次性牙膏牙刷等物品，请游客自行携</w:t>
            </w:r>
            <w:r>
              <w:rPr>
                <w:spacing w:val="-16"/>
                <w:w w:val="95"/>
                <w:sz w:val="21"/>
              </w:rPr>
              <w:t xml:space="preserve">带洗漱用品；使用酒店物品时，请看清是否免费使用。退房时自行结清房间提供的饮料、食品、   </w:t>
            </w:r>
            <w:r>
              <w:rPr>
                <w:spacing w:val="-16"/>
                <w:sz w:val="21"/>
              </w:rPr>
              <w:t>洗涤和长途电话费用。抵达酒店后，旅游者须听从导游安排；酒店住宿以两人一室、自由组合</w:t>
            </w:r>
            <w:r>
              <w:rPr>
                <w:spacing w:val="-16"/>
                <w:w w:val="95"/>
                <w:sz w:val="21"/>
              </w:rPr>
              <w:t xml:space="preserve">为原则，如出现单男单女，本公司将安排拼房、加床或安排三人间，如不行客人则需现补房差；   </w:t>
            </w:r>
            <w:r>
              <w:rPr>
                <w:spacing w:val="-17"/>
                <w:sz w:val="21"/>
              </w:rPr>
              <w:t>如果旅游者特别指定单人房间，请于出行前支付单人房差额并取得本公司的确认，以免出行后</w:t>
            </w:r>
          </w:p>
          <w:p>
            <w:pPr>
              <w:pStyle w:val="6"/>
              <w:spacing w:line="266" w:lineRule="exact"/>
              <w:ind w:left="421"/>
              <w:rPr>
                <w:sz w:val="21"/>
              </w:rPr>
            </w:pPr>
            <w:r>
              <w:rPr>
                <w:sz w:val="21"/>
              </w:rPr>
              <w:t>产生纷争。</w:t>
            </w:r>
          </w:p>
        </w:tc>
      </w:tr>
    </w:tbl>
    <w:p>
      <w:pPr>
        <w:spacing w:after="0" w:line="266" w:lineRule="exact"/>
        <w:rPr>
          <w:sz w:val="21"/>
        </w:rPr>
        <w:sectPr>
          <w:pgSz w:w="11910" w:h="16840"/>
          <w:pgMar w:top="860" w:right="740" w:bottom="280" w:left="740" w:header="720" w:footer="720" w:gutter="0"/>
        </w:sectPr>
      </w:pPr>
    </w:p>
    <w:tbl>
      <w:tblPr>
        <w:tblStyle w:val="2"/>
        <w:tblW w:w="0" w:type="auto"/>
        <w:tblInd w:w="116"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0" w:type="dxa"/>
          <w:bottom w:w="0" w:type="dxa"/>
          <w:right w:w="0" w:type="dxa"/>
        </w:tblCellMar>
      </w:tblPr>
      <w:tblGrid>
        <w:gridCol w:w="1134"/>
        <w:gridCol w:w="9072"/>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0" w:type="dxa"/>
            <w:bottom w:w="0" w:type="dxa"/>
            <w:right w:w="0" w:type="dxa"/>
          </w:tblCellMar>
        </w:tblPrEx>
        <w:trPr>
          <w:trHeight w:val="5040" w:hRule="atLeast"/>
        </w:trPr>
        <w:tc>
          <w:tcPr>
            <w:tcW w:w="1134" w:type="dxa"/>
          </w:tcPr>
          <w:p>
            <w:pPr>
              <w:pStyle w:val="6"/>
              <w:rPr>
                <w:rFonts w:ascii="Times New Roman"/>
                <w:sz w:val="20"/>
              </w:rPr>
            </w:pPr>
          </w:p>
        </w:tc>
        <w:tc>
          <w:tcPr>
            <w:tcW w:w="9072" w:type="dxa"/>
          </w:tcPr>
          <w:p>
            <w:pPr>
              <w:pStyle w:val="6"/>
              <w:spacing w:before="68" w:line="321" w:lineRule="auto"/>
              <w:ind w:left="421" w:right="96" w:hanging="315"/>
              <w:jc w:val="both"/>
              <w:rPr>
                <w:sz w:val="21"/>
              </w:rPr>
            </w:pPr>
            <w:r>
              <w:rPr>
                <w:w w:val="95"/>
                <w:sz w:val="21"/>
              </w:rPr>
              <w:t>3</w:t>
            </w:r>
            <w:r>
              <w:rPr>
                <w:spacing w:val="-6"/>
                <w:w w:val="95"/>
                <w:sz w:val="21"/>
              </w:rPr>
              <w:t>、酒店的设施与城市酒店有一定的差别，江西景区因地处山高，云雾环绕，</w:t>
            </w:r>
            <w:r>
              <w:rPr>
                <w:spacing w:val="-9"/>
                <w:w w:val="95"/>
                <w:sz w:val="21"/>
              </w:rPr>
              <w:t>（</w:t>
            </w:r>
            <w:r>
              <w:rPr>
                <w:spacing w:val="-4"/>
                <w:w w:val="95"/>
                <w:sz w:val="21"/>
              </w:rPr>
              <w:t>如：相对潮湿、规   模较小</w:t>
            </w:r>
            <w:r>
              <w:rPr>
                <w:spacing w:val="-12"/>
                <w:w w:val="95"/>
                <w:sz w:val="21"/>
              </w:rPr>
              <w:t>）</w:t>
            </w:r>
            <w:r>
              <w:rPr>
                <w:spacing w:val="-6"/>
                <w:w w:val="95"/>
                <w:sz w:val="21"/>
              </w:rPr>
              <w:t>，请游客多多理解；山区酒店热水限时供应</w:t>
            </w:r>
            <w:r>
              <w:rPr>
                <w:w w:val="95"/>
                <w:sz w:val="21"/>
              </w:rPr>
              <w:t>（具体时间当天通知</w:t>
            </w:r>
            <w:r>
              <w:rPr>
                <w:spacing w:val="-10"/>
                <w:w w:val="95"/>
                <w:sz w:val="21"/>
              </w:rPr>
              <w:t>）；</w:t>
            </w:r>
            <w:r>
              <w:rPr>
                <w:w w:val="95"/>
                <w:sz w:val="21"/>
              </w:rPr>
              <w:t xml:space="preserve">部分酒店房间不   </w:t>
            </w:r>
            <w:r>
              <w:rPr>
                <w:spacing w:val="-5"/>
                <w:w w:val="95"/>
                <w:sz w:val="21"/>
              </w:rPr>
              <w:t>配备独立空调，有些酒店房间开空调需另外收费</w:t>
            </w:r>
            <w:r>
              <w:rPr>
                <w:w w:val="95"/>
                <w:sz w:val="21"/>
              </w:rPr>
              <w:t>（</w:t>
            </w:r>
            <w:r>
              <w:rPr>
                <w:spacing w:val="-2"/>
                <w:w w:val="95"/>
                <w:sz w:val="21"/>
              </w:rPr>
              <w:t xml:space="preserve">空调长期受高山气候影响，效果可能不是太   </w:t>
            </w:r>
            <w:r>
              <w:rPr>
                <w:spacing w:val="-2"/>
                <w:sz w:val="21"/>
              </w:rPr>
              <w:t>好，敬请谅解！）</w:t>
            </w:r>
          </w:p>
          <w:p>
            <w:pPr>
              <w:pStyle w:val="6"/>
              <w:spacing w:line="321" w:lineRule="auto"/>
              <w:ind w:left="421" w:right="29" w:hanging="315"/>
              <w:rPr>
                <w:sz w:val="21"/>
              </w:rPr>
            </w:pPr>
            <w:r>
              <w:rPr>
                <w:w w:val="95"/>
                <w:sz w:val="21"/>
              </w:rPr>
              <w:t xml:space="preserve">4、安全方面：游客从事潜水、漂流、骑马、游泳、攀岩等具有人身危险性的活动和自由活动时，   </w:t>
            </w:r>
            <w:r>
              <w:rPr>
                <w:spacing w:val="-3"/>
                <w:sz w:val="21"/>
              </w:rPr>
              <w:t>一定要根据自身的健康状况来自主决定，老人和孩子应有家人陪同不能单独活动；游客在活动</w:t>
            </w:r>
            <w:r>
              <w:rPr>
                <w:spacing w:val="-10"/>
                <w:sz w:val="21"/>
              </w:rPr>
              <w:t>期间不遵守规定、自身过错、自由活动期间内的行为或者自身疾病引起的人身和财产损失责任自负，旅行社不承担责任；旅游期间财物请随身保管，车上不可放贵重物品。抵达景区后，请</w:t>
            </w:r>
            <w:r>
              <w:rPr>
                <w:spacing w:val="-12"/>
                <w:sz w:val="21"/>
              </w:rPr>
              <w:t>谨记集合地点、时间、所乘游览的巴士车牌号。听取当地导游有关安全提示和忠告，应预防意</w:t>
            </w:r>
            <w:r>
              <w:rPr>
                <w:spacing w:val="-15"/>
                <w:sz w:val="21"/>
              </w:rPr>
              <w:t>外事故和突发性疾病的发生。在景区参观游览时，请听从导游的安排，不要擅自离队，如果迷失方向，原则上应原地等候导游的到来或者打电话求救、求助，千万不要着急。</w:t>
            </w:r>
          </w:p>
          <w:p>
            <w:pPr>
              <w:pStyle w:val="6"/>
              <w:spacing w:line="265" w:lineRule="exact"/>
              <w:ind w:left="107"/>
              <w:rPr>
                <w:sz w:val="21"/>
              </w:rPr>
            </w:pPr>
            <w:r>
              <w:rPr>
                <w:sz w:val="21"/>
              </w:rPr>
              <w:t>5、请游客出发前根据旅游地天气情况准备适宜出行的衣物、鞋子、雨具等；</w:t>
            </w:r>
          </w:p>
          <w:p>
            <w:pPr>
              <w:pStyle w:val="6"/>
              <w:spacing w:before="89"/>
              <w:ind w:left="107"/>
              <w:rPr>
                <w:sz w:val="21"/>
              </w:rPr>
            </w:pPr>
            <w:r>
              <w:rPr>
                <w:sz w:val="21"/>
              </w:rPr>
              <w:t>6、请游客依照个人习惯带适量常用药品、护肤用品（防嗮、保湿）等；</w:t>
            </w:r>
          </w:p>
          <w:p>
            <w:pPr>
              <w:pStyle w:val="6"/>
              <w:spacing w:before="91"/>
              <w:ind w:left="107"/>
              <w:rPr>
                <w:sz w:val="21"/>
              </w:rPr>
            </w:pPr>
            <w:r>
              <w:rPr>
                <w:sz w:val="21"/>
              </w:rPr>
              <w:t>7、江西气候相对干燥，请勿在景区吸烟。</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0" w:type="dxa"/>
            <w:bottom w:w="0" w:type="dxa"/>
            <w:right w:w="0" w:type="dxa"/>
          </w:tblCellMar>
        </w:tblPrEx>
        <w:trPr>
          <w:trHeight w:val="3960" w:hRule="atLeast"/>
        </w:trPr>
        <w:tc>
          <w:tcPr>
            <w:tcW w:w="1134" w:type="dxa"/>
          </w:tcPr>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spacing w:before="4"/>
              <w:rPr>
                <w:rFonts w:ascii="Times New Roman"/>
                <w:sz w:val="24"/>
              </w:rPr>
            </w:pPr>
          </w:p>
          <w:p>
            <w:pPr>
              <w:pStyle w:val="6"/>
              <w:spacing w:line="280" w:lineRule="auto"/>
              <w:ind w:left="327" w:right="314"/>
              <w:rPr>
                <w:b/>
                <w:sz w:val="24"/>
              </w:rPr>
            </w:pPr>
            <w:r>
              <w:rPr>
                <w:b/>
                <w:color w:val="D50092"/>
                <w:sz w:val="24"/>
              </w:rPr>
              <w:t>免责情况</w:t>
            </w:r>
          </w:p>
        </w:tc>
        <w:tc>
          <w:tcPr>
            <w:tcW w:w="9072" w:type="dxa"/>
          </w:tcPr>
          <w:p>
            <w:pPr>
              <w:pStyle w:val="6"/>
              <w:spacing w:before="68" w:line="321" w:lineRule="auto"/>
              <w:ind w:left="467" w:right="-15" w:hanging="360"/>
              <w:jc w:val="both"/>
              <w:rPr>
                <w:sz w:val="21"/>
              </w:rPr>
            </w:pPr>
            <w:r>
              <w:rPr>
                <w:rFonts w:ascii="Times New Roman" w:eastAsia="Times New Roman"/>
                <w:sz w:val="21"/>
              </w:rPr>
              <w:t>1</w:t>
            </w:r>
            <w:r>
              <w:rPr>
                <w:spacing w:val="-6"/>
                <w:sz w:val="21"/>
              </w:rPr>
              <w:t>、 因不可抗力因素造成团队行程更改、延误、滞留或提前结束时，旅行社可根据当时的情况全</w:t>
            </w:r>
            <w:r>
              <w:rPr>
                <w:sz w:val="21"/>
              </w:rPr>
              <w:t>权处理，如发生费用加减，按未发生费用退还游客，超支费用由游客承担的办法处理。旅行</w:t>
            </w:r>
            <w:r>
              <w:rPr>
                <w:spacing w:val="-1"/>
                <w:sz w:val="21"/>
              </w:rPr>
              <w:t>社在旅途中有权根据实际情况对行程先后顺序作调整，但不影响原定的接待标准及游览景点；</w:t>
            </w:r>
          </w:p>
          <w:p>
            <w:pPr>
              <w:pStyle w:val="6"/>
              <w:spacing w:line="321" w:lineRule="auto"/>
              <w:ind w:left="467" w:right="98" w:hanging="360"/>
              <w:jc w:val="both"/>
              <w:rPr>
                <w:sz w:val="21"/>
              </w:rPr>
            </w:pPr>
            <w:r>
              <w:rPr>
                <w:rFonts w:ascii="Times New Roman" w:eastAsia="Times New Roman"/>
                <w:sz w:val="21"/>
              </w:rPr>
              <w:t>2</w:t>
            </w:r>
            <w:r>
              <w:rPr>
                <w:spacing w:val="-6"/>
                <w:sz w:val="21"/>
              </w:rPr>
              <w:t>、 如遇到堵车等非旅行社原因造成的误上火车及误登飞机等其它经济损失，旅行社概不承担责任。可在根当地协助处理，所产生的费用一切由游客承担。</w:t>
            </w:r>
          </w:p>
          <w:p>
            <w:pPr>
              <w:pStyle w:val="6"/>
              <w:spacing w:line="321" w:lineRule="auto"/>
              <w:ind w:left="421" w:right="98" w:hanging="315"/>
              <w:rPr>
                <w:sz w:val="21"/>
              </w:rPr>
            </w:pPr>
            <w:r>
              <w:rPr>
                <w:w w:val="95"/>
                <w:sz w:val="21"/>
              </w:rPr>
              <w:t>3</w:t>
            </w:r>
            <w:r>
              <w:rPr>
                <w:spacing w:val="-9"/>
                <w:w w:val="95"/>
                <w:sz w:val="21"/>
              </w:rPr>
              <w:t xml:space="preserve">、自由活动时间，请听从导游安排的准确集合时间及地点！如因客人自愿自行参加非旅行社组织   </w:t>
            </w:r>
            <w:r>
              <w:rPr>
                <w:spacing w:val="-9"/>
                <w:sz w:val="21"/>
              </w:rPr>
              <w:t>的活动，出现任何意外受伤情况，责任由客人个人承担，旅行社不承担责任；</w:t>
            </w:r>
          </w:p>
          <w:p>
            <w:pPr>
              <w:pStyle w:val="6"/>
              <w:spacing w:line="321" w:lineRule="auto"/>
              <w:ind w:left="421" w:right="96" w:hanging="315"/>
              <w:rPr>
                <w:sz w:val="21"/>
              </w:rPr>
            </w:pPr>
            <w:r>
              <w:rPr>
                <w:w w:val="95"/>
                <w:sz w:val="21"/>
              </w:rPr>
              <w:t>4</w:t>
            </w:r>
            <w:r>
              <w:rPr>
                <w:spacing w:val="-8"/>
                <w:w w:val="95"/>
                <w:sz w:val="21"/>
              </w:rPr>
              <w:t xml:space="preserve">、意外情况发生时，旅行社已经采取措施尽量避免扩大损失，但游客不予配合而产生的费用，旅   </w:t>
            </w:r>
            <w:r>
              <w:rPr>
                <w:spacing w:val="-8"/>
                <w:sz w:val="21"/>
              </w:rPr>
              <w:t>行社不予承担。</w:t>
            </w:r>
          </w:p>
          <w:p>
            <w:pPr>
              <w:pStyle w:val="6"/>
              <w:spacing w:line="268" w:lineRule="exact"/>
              <w:ind w:left="107"/>
              <w:rPr>
                <w:sz w:val="21"/>
              </w:rPr>
            </w:pPr>
            <w:r>
              <w:rPr>
                <w:sz w:val="21"/>
              </w:rPr>
              <w:t>5、按照国家旅游局的规定，旅游者在境内、外不准许参与色情场所等其他法律所不允许情况的活</w:t>
            </w:r>
          </w:p>
          <w:p>
            <w:pPr>
              <w:pStyle w:val="6"/>
              <w:spacing w:before="87"/>
              <w:ind w:left="421"/>
              <w:rPr>
                <w:sz w:val="21"/>
              </w:rPr>
            </w:pPr>
            <w:r>
              <w:rPr>
                <w:sz w:val="21"/>
              </w:rPr>
              <w:t>动，如有前往者，须负责自己的行为后果，本公司已作说明，对此不承担任何责任。</w:t>
            </w:r>
          </w:p>
        </w:tc>
      </w:tr>
    </w:tbl>
    <w:p/>
    <w:sectPr>
      <w:pgSz w:w="11910" w:h="16840"/>
      <w:pgMar w:top="860" w:right="740" w:bottom="280" w:left="7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5AED47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3">
    <w:name w:val="Default Paragraph Font"/>
    <w:semiHidden/>
    <w:unhideWhenUsed/>
    <w:uiPriority w:val="1"/>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2"/>
    <w:tblPr>
      <w:tblCellMar>
        <w:top w:w="0" w:type="dxa"/>
        <w:left w:w="0" w:type="dxa"/>
        <w:bottom w:w="0" w:type="dxa"/>
        <w:right w:w="0" w:type="dxa"/>
      </w:tblCellMar>
    </w:tblPr>
  </w:style>
  <w:style w:type="paragraph" w:styleId="5">
    <w:name w:val="List Paragraph"/>
    <w:basedOn w:val="1"/>
    <w:qFormat/>
    <w:uiPriority w:val="1"/>
    <w:rPr>
      <w:lang w:val="zh-CN" w:eastAsia="zh-CN" w:bidi="zh-CN"/>
    </w:rPr>
  </w:style>
  <w:style w:type="paragraph" w:customStyle="1" w:styleId="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2021-09-22T08:12:00Z</dcterms:created>
  <dc:creator>DADI</dc:creator>
  <cp:lastModifiedBy>全世界最好的李俊昊</cp:lastModifiedBy>
  <dcterms:modified xsi:type="dcterms:W3CDTF">2021-09-22T08:12:59Z</dcterms:modified>
  <dc:title>九华山*黄山*宏村*瓷都景德镇*庐山*婺源*景德镇*井冈山双动10日游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2021-09-16T00:00:00Z</vt:filetime>
  </property>
  <property fmtid="{D5CDD505-2E9C-101B-9397-08002B2CF9AE}" pid="3" name="Creator">
    <vt:lpwstr>WPS 文字</vt:lpwstr>
  </property>
  <property fmtid="{D5CDD505-2E9C-101B-9397-08002B2CF9AE}" pid="4" name="LastSaved">
    <vt:filetime>2021-09-22T00:00:00Z</vt:filetime>
  </property>
  <property fmtid="{D5CDD505-2E9C-101B-9397-08002B2CF9AE}" pid="5" name="KSOProductBuildVer">
    <vt:lpwstr>2052-11.1.0.10314</vt:lpwstr>
  </property>
</Properties>
</file>