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【漫游丽江】</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大理、丽江纯玩双飞4日游</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0购物0自费</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2" w:type="dxa"/>
        <w:jc w:val="center"/>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2"/>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jc w:val="center"/>
        </w:trPr>
        <w:tc>
          <w:tcPr>
            <w:tcW w:w="10682" w:type="dxa"/>
            <w:tcBorders>
              <w:tl2br w:val="nil"/>
              <w:tr2bl w:val="nil"/>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2010" w:hRule="atLeast"/>
          <w:jc w:val="center"/>
        </w:trPr>
        <w:tc>
          <w:tcPr>
            <w:tcW w:w="10682" w:type="dxa"/>
            <w:tcBorders>
              <w:tl2br w:val="nil"/>
              <w:tr2bl w:val="nil"/>
            </w:tcBorders>
          </w:tcPr>
          <w:p>
            <w:pPr>
              <w:rPr>
                <w:b/>
                <w:bCs/>
              </w:rPr>
            </w:pPr>
            <w:r>
              <w:rPr>
                <w:rFonts w:hint="eastAsia"/>
                <w:b/>
                <w:bCs/>
              </w:rPr>
              <w:t>※【精选景点】丽江古城之后花园-黑龙潭公园</w:t>
            </w:r>
          </w:p>
          <w:p>
            <w:pPr>
              <w:rPr>
                <w:b/>
                <w:bCs/>
              </w:rPr>
            </w:pPr>
            <w:r>
              <w:rPr>
                <w:rFonts w:hint="eastAsia"/>
                <w:b/>
                <w:bCs/>
              </w:rPr>
              <w:t>※【网红打卡】网红打卡吉普车旅拍，大理古城</w:t>
            </w:r>
          </w:p>
          <w:p>
            <w:pPr>
              <w:rPr>
                <w:b/>
                <w:bCs/>
              </w:rPr>
            </w:pPr>
            <w:r>
              <w:rPr>
                <w:rFonts w:hint="eastAsia"/>
                <w:b/>
                <w:bCs/>
              </w:rPr>
              <w:t>※【舒适出行】当地特色商务酒店，经济实惠又舒适</w:t>
            </w:r>
          </w:p>
          <w:p>
            <w:pPr>
              <w:rPr>
                <w:b/>
                <w:bCs/>
              </w:rPr>
            </w:pPr>
            <w:r>
              <w:rPr>
                <w:rFonts w:hint="eastAsia"/>
                <w:b/>
                <w:bCs/>
              </w:rPr>
              <w:t>※【地道味旅】大理白族美食，丽江纳西族风味</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行程/景点·秒懂安排</w:t>
            </w:r>
          </w:p>
          <w:p>
            <w:pPr>
              <w:spacing w:line="360" w:lineRule="auto"/>
              <w:rPr>
                <w:rFonts w:ascii="新宋体" w:hAnsi="新宋体" w:eastAsia="新宋体" w:cs="新宋体"/>
                <w:b/>
                <w:bCs/>
                <w:sz w:val="24"/>
                <w:szCs w:val="32"/>
              </w:rPr>
            </w:pPr>
            <w:r>
              <w:rPr>
                <w:rFonts w:hint="eastAsia" w:ascii="新宋体" w:hAnsi="新宋体" w:eastAsia="新宋体" w:cs="新宋体"/>
                <w:b/>
                <w:bCs/>
                <w:sz w:val="24"/>
                <w:szCs w:val="32"/>
              </w:rPr>
              <w:t>D1 丽江接机</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spacing w:line="360" w:lineRule="auto"/>
              <w:rPr>
                <w:rFonts w:ascii="新宋体" w:hAnsi="新宋体" w:eastAsia="新宋体" w:cs="新宋体"/>
                <w:b/>
                <w:bCs/>
                <w:sz w:val="24"/>
                <w:szCs w:val="32"/>
              </w:rPr>
            </w:pPr>
            <w:r>
              <w:rPr>
                <w:rFonts w:hint="eastAsia" w:ascii="新宋体" w:hAnsi="新宋体" w:eastAsia="新宋体" w:cs="新宋体"/>
                <w:b/>
                <w:bCs/>
                <w:sz w:val="24"/>
                <w:szCs w:val="32"/>
              </w:rPr>
              <w:t>D2 丽江→大理吉普车旅拍→洱海VIP私人游船→大理古城→夜游丽江古城→入住丽江酒店</w:t>
            </w:r>
          </w:p>
          <w:p>
            <w:pPr>
              <w:spacing w:line="360" w:lineRule="auto"/>
              <w:rPr>
                <w:rFonts w:ascii="新宋体" w:hAnsi="新宋体" w:eastAsia="新宋体" w:cs="新宋体"/>
                <w:b/>
                <w:bCs/>
                <w:sz w:val="24"/>
                <w:szCs w:val="32"/>
              </w:rPr>
            </w:pPr>
            <w:r>
              <w:rPr>
                <w:rFonts w:hint="eastAsia" w:ascii="新宋体" w:hAnsi="新宋体" w:eastAsia="新宋体" w:cs="新宋体"/>
                <w:b/>
                <w:bCs/>
                <w:sz w:val="24"/>
                <w:szCs w:val="32"/>
              </w:rPr>
              <w:t>D3 丽江束河古镇</w:t>
            </w:r>
            <w:r>
              <w:rPr>
                <w:rFonts w:ascii="新宋体" w:hAnsi="新宋体" w:eastAsia="新宋体" w:cs="新宋体"/>
                <w:b/>
                <w:bCs/>
                <w:sz w:val="24"/>
                <w:szCs w:val="32"/>
              </w:rPr>
              <w:t>→</w:t>
            </w:r>
            <w:r>
              <w:rPr>
                <w:rFonts w:hint="eastAsia" w:ascii="新宋体" w:hAnsi="新宋体" w:eastAsia="新宋体" w:cs="新宋体"/>
                <w:b/>
                <w:bCs/>
                <w:sz w:val="24"/>
                <w:szCs w:val="32"/>
              </w:rPr>
              <w:t>丽江黑龙潭</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rPr>
                <w:rFonts w:ascii="微软雅黑" w:hAnsi="微软雅黑" w:eastAsia="微软雅黑" w:cs="宋体"/>
                <w:color w:val="000000"/>
                <w:kern w:val="0"/>
              </w:rPr>
            </w:pPr>
            <w:r>
              <w:rPr>
                <w:rFonts w:hint="eastAsia" w:ascii="新宋体" w:hAnsi="新宋体" w:eastAsia="新宋体" w:cs="新宋体"/>
                <w:b/>
                <w:bCs/>
                <w:sz w:val="24"/>
                <w:szCs w:val="32"/>
              </w:rPr>
              <w:t>D4 丽江送机</w:t>
            </w:r>
            <w:r>
              <w:rPr>
                <w:rFonts w:ascii="新宋体" w:hAnsi="新宋体" w:eastAsia="新宋体" w:cs="新宋体"/>
                <w:b/>
                <w:bCs/>
                <w:sz w:val="24"/>
                <w:szCs w:val="32"/>
              </w:rPr>
              <w:t>→</w:t>
            </w:r>
            <w:r>
              <w:rPr>
                <w:rFonts w:hint="eastAsia" w:ascii="新宋体" w:hAnsi="新宋体" w:eastAsia="新宋体" w:cs="新宋体"/>
                <w:b/>
                <w:bCs/>
                <w:sz w:val="24"/>
                <w:szCs w:val="32"/>
              </w:rPr>
              <w:t>结束旅程</w:t>
            </w:r>
          </w:p>
        </w:tc>
      </w:tr>
    </w:tbl>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8"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9"/>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2772"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D1</w:t>
            </w:r>
            <w:r>
              <w:rPr>
                <w:rFonts w:hint="eastAsia"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Pr>
          <w:p>
            <w:pPr>
              <w:ind w:firstLine="482" w:firstLineChars="200"/>
              <w:rPr>
                <w:rFonts w:ascii="宋体" w:hAnsi="宋体" w:cs="宋体"/>
              </w:rPr>
            </w:pPr>
            <w:r>
              <w:rPr>
                <w:rFonts w:hint="eastAsia" w:ascii="新宋体" w:hAnsi="新宋体" w:eastAsia="新宋体" w:cs="新宋体"/>
                <w:b/>
                <w:bCs/>
                <w:sz w:val="24"/>
                <w:szCs w:val="32"/>
              </w:rPr>
              <w:t>丽江接机</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rPr>
                <w:rFonts w:ascii="宋体" w:hAnsi="宋体" w:cs="宋体"/>
              </w:rPr>
            </w:pPr>
            <w:r>
              <w:rPr>
                <w:rFonts w:hint="eastAsia" w:ascii="宋体" w:hAnsi="宋体" w:cs="宋体"/>
              </w:rPr>
              <w:t>根据航班抵达时间，工作人员丽江机场接机，送至酒店入住休息。如果您抵达丽江过早，可以自行前往丽江古城游览。</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5、各段行程，导游将于晚上22点前联系客人。</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D2：</w:t>
            </w:r>
          </w:p>
          <w:p>
            <w:pPr>
              <w:spacing w:line="240" w:lineRule="atLeast"/>
              <w:rPr>
                <w:rFonts w:cs="Times New Roman" w:asciiTheme="minorEastAsia" w:hAnsiTheme="minorEastAsia" w:eastAsiaTheme="minorEastAsia"/>
                <w:color w:val="000000"/>
                <w:kern w:val="0"/>
              </w:rPr>
            </w:pPr>
            <w:r>
              <w:rPr>
                <w:rFonts w:hint="eastAsia" w:cs="Times New Roman" w:asciiTheme="minorEastAsia" w:hAnsiTheme="minorEastAsia" w:eastAsiaTheme="minorEastAsia"/>
                <w:b/>
                <w:bCs/>
                <w:color w:val="000000"/>
                <w:kern w:val="0"/>
              </w:rPr>
              <w:t>丽江-丽江</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丽江→大理吉普车旅拍→洱海VIP私人游船→大理古城→夜游丽江古城→入住丽江酒店</w:t>
            </w:r>
          </w:p>
          <w:p>
            <w:pPr>
              <w:ind w:firstLine="420" w:firstLineChars="200"/>
              <w:rPr>
                <w:rFonts w:hint="eastAsia"/>
                <w:color w:val="4F81BD" w:themeColor="accent1"/>
              </w:rPr>
            </w:pPr>
            <w:r>
              <w:rPr>
                <w:rFonts w:hint="eastAsia"/>
              </w:rPr>
              <w:t>早餐后前往搭乘</w:t>
            </w:r>
            <w:r>
              <w:rPr>
                <w:rFonts w:hint="eastAsia"/>
                <w:b/>
                <w:bCs/>
                <w:color w:val="4F81BD" w:themeColor="accent1"/>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文艺又拉风的敞篷吉普车与无敌的海景、白桌子、玻璃球简直就是绝配，当地领队熟悉洱海每个角落，为您寻找最唯美拍照点，收获最佳光影角度，温度与光线都恰到好处，专业旅拍领队助力您朋友圈C位出道。</w:t>
            </w:r>
            <w:r>
              <w:rPr>
                <w:rFonts w:hint="eastAsia"/>
                <w:color w:val="4F81BD" w:themeColor="accent1"/>
              </w:rPr>
              <w:t>【旅拍每个家庭赠送的电子照片，将在出行结束内，通过微信或云空间分享发送。吉普旅拍如遇天气等自然因素体验感未达到或因自身原因放弃游览，则费用不退。】</w:t>
            </w:r>
          </w:p>
          <w:p>
            <w:pPr>
              <w:ind w:firstLine="420" w:firstLineChars="200"/>
              <w:rPr>
                <w:rFonts w:hint="eastAsia"/>
              </w:rPr>
            </w:pPr>
            <w:r>
              <w:rPr>
                <w:rFonts w:hint="eastAsia"/>
              </w:rPr>
              <w:t>午餐后乘车停靠港口，乘坐</w:t>
            </w:r>
            <w:r>
              <w:rPr>
                <w:rFonts w:hint="eastAsia"/>
                <w:b/>
                <w:bCs/>
                <w:color w:val="4F81BD" w:themeColor="accent1"/>
              </w:rPr>
              <w:t>【VIP私人游船】</w:t>
            </w:r>
            <w:r>
              <w:rPr>
                <w:rFonts w:hint="eastAsia"/>
              </w:rPr>
              <w:t>去享受最美的洱海风光。没有“人挤人”的困扰，没有熙熙攘攘的嘈杂，在专属游船上让您360度环游美丽的洱海，充分享受属于您的洱海美好时光。</w:t>
            </w:r>
          </w:p>
          <w:p>
            <w:pPr>
              <w:ind w:firstLine="420" w:firstLineChars="200"/>
              <w:rPr>
                <w:rFonts w:hint="eastAsia"/>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w:t>
            </w:r>
          </w:p>
          <w:p>
            <w:pPr>
              <w:ind w:firstLine="420" w:firstLineChars="200"/>
              <w:rPr>
                <w:rFonts w:hint="eastAsia"/>
              </w:rPr>
            </w:pPr>
            <w:r>
              <w:rPr>
                <w:rFonts w:hint="eastAsia"/>
              </w:rPr>
              <w:t>游览结束后返回丽江，晚餐后安排</w:t>
            </w:r>
            <w:r>
              <w:rPr>
                <w:rFonts w:hint="eastAsia"/>
                <w:b/>
                <w:bCs/>
                <w:color w:val="FF0000"/>
              </w:rPr>
              <w:t>【夜游丽江古城】</w:t>
            </w:r>
            <w:r>
              <w:rPr>
                <w:rFonts w:hint="eastAsia"/>
              </w:rPr>
              <w:t>，由导游带领客人夜游丽江古城，怀着悠闲之心，信步走进丽江古城，置身于古建筑画卷、古文明文明的大观园中。踏在光硬的石板街上，一如茶马古道的赶马过客，在市井如潮的四方街抖落一天旅行的疲惫，抖落风尘。古城依山势就水流布置街道，或平缓顺直，或盘绕迂回，空间时而开放，时而紧凑，形成疏密有致、曲径通幽的格局。漫步丽江古城，水流便是你的向导，清碧的流水会带你进入深深的巷子和古朴致雅的庭院，让你在悠扬的葫芦丝乐器声中，渐渐入画，渐渐入迷。</w:t>
            </w:r>
          </w:p>
          <w:p>
            <w:pPr>
              <w:ind w:firstLine="420" w:firstLineChars="200"/>
              <w:rPr>
                <w:rFonts w:ascii="宋体" w:hAnsi="宋体" w:cs="宋体"/>
              </w:rPr>
            </w:pPr>
            <w:r>
              <w:rPr>
                <w:rFonts w:hint="eastAsia"/>
              </w:rPr>
              <w:t>游玩结束之后，自行前往酒店休息。</w:t>
            </w:r>
          </w:p>
        </w:tc>
        <w:tc>
          <w:tcPr>
            <w:tcW w:w="645" w:type="dxa"/>
            <w:vAlign w:val="center"/>
          </w:tcPr>
          <w:p>
            <w:pPr>
              <w:spacing w:line="240" w:lineRule="atLeast"/>
              <w:rPr>
                <w:rFonts w:cs="宋体" w:asciiTheme="minorEastAsia" w:hAnsiTheme="minorEastAsia" w:eastAsiaTheme="minorEastAsia"/>
                <w:color w:val="000000"/>
              </w:rPr>
            </w:pPr>
            <w:r>
              <w:rPr>
                <w:rFonts w:hint="eastAsia" w:cs="宋体" w:asciiTheme="minorEastAsia" w:hAnsiTheme="minorEastAsia" w:eastAsiaTheme="minorEastAsia"/>
                <w:color w:val="000000"/>
              </w:rPr>
              <w:t>丽江</w:t>
            </w:r>
          </w:p>
        </w:tc>
        <w:tc>
          <w:tcPr>
            <w:tcW w:w="570" w:type="dxa"/>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3：</w:t>
            </w:r>
          </w:p>
          <w:p>
            <w:pPr>
              <w:spacing w:line="240" w:lineRule="atLeast"/>
              <w:ind w:left="-34" w:leftChars="-16" w:firstLine="34" w:firstLineChars="16"/>
              <w:jc w:val="center"/>
              <w:rPr>
                <w:rFonts w:cs="宋体" w:asciiTheme="minorEastAsia" w:hAnsiTheme="minorEastAsia" w:eastAsiaTheme="minorEastAsia"/>
                <w:b/>
                <w:bCs/>
                <w:lang w:val="zh-CN"/>
              </w:rPr>
            </w:pPr>
            <w:r>
              <w:rPr>
                <w:rFonts w:hint="eastAsia" w:cs="宋体" w:asciiTheme="minorEastAsia" w:hAnsiTheme="minorEastAsia" w:eastAsiaTheme="minorEastAsia"/>
                <w:b/>
                <w:bCs/>
              </w:rPr>
              <w:t>丽江-</w:t>
            </w:r>
            <w:r>
              <w:rPr>
                <w:rFonts w:hint="eastAsia" w:cs="Times New Roman" w:asciiTheme="minorEastAsia" w:hAnsiTheme="minorEastAsia" w:eastAsiaTheme="minorEastAsia"/>
                <w:b/>
                <w:bCs/>
                <w:color w:val="000000"/>
                <w:kern w:val="0"/>
              </w:rPr>
              <w:t>丽江</w:t>
            </w:r>
          </w:p>
        </w:tc>
        <w:tc>
          <w:tcPr>
            <w:tcW w:w="9299" w:type="dxa"/>
          </w:tcPr>
          <w:p>
            <w:pPr>
              <w:ind w:firstLine="482" w:firstLineChars="200"/>
            </w:pPr>
            <w:r>
              <w:rPr>
                <w:rFonts w:hint="eastAsia" w:ascii="新宋体" w:hAnsi="新宋体" w:eastAsia="新宋体" w:cs="新宋体"/>
                <w:b/>
                <w:bCs/>
                <w:sz w:val="24"/>
                <w:szCs w:val="32"/>
              </w:rPr>
              <w:t>丽江束河古镇</w:t>
            </w:r>
            <w:r>
              <w:rPr>
                <w:rFonts w:ascii="新宋体" w:hAnsi="新宋体" w:eastAsia="新宋体" w:cs="新宋体"/>
                <w:b/>
                <w:bCs/>
                <w:sz w:val="24"/>
                <w:szCs w:val="32"/>
              </w:rPr>
              <w:t>→</w:t>
            </w:r>
            <w:r>
              <w:rPr>
                <w:rFonts w:hint="eastAsia" w:ascii="新宋体" w:hAnsi="新宋体" w:eastAsia="新宋体" w:cs="新宋体"/>
                <w:b/>
                <w:bCs/>
                <w:sz w:val="24"/>
                <w:szCs w:val="32"/>
              </w:rPr>
              <w:t>黑龙潭</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rPr>
                <w:rFonts w:hint="eastAsia"/>
              </w:rPr>
            </w:pPr>
            <w:r>
              <w:rPr>
                <w:rFonts w:hint="eastAsia"/>
              </w:rPr>
              <w:t>酒店吃过早餐后，乘车前往游览中国最有特色的古镇-</w:t>
            </w:r>
            <w:r>
              <w:rPr>
                <w:rFonts w:hint="eastAsia"/>
                <w:b/>
                <w:bCs/>
                <w:color w:val="FF0000"/>
              </w:rPr>
              <w:t>【束河古镇】</w:t>
            </w:r>
            <w:r>
              <w:rPr>
                <w:rFonts w:hint="eastAsia"/>
              </w:rPr>
              <w:t>（自由活动），束河古镇是茶马古道上保存完好的重要集镇，也是纳西先民从农耕文明向商业文明过渡的活标本、对外开放和马帮活动形成的集镇建设典范。束河是世界文化遗产丽江古城的重要组成部分，于2005年入选CCTV“中国魅力名镇”。</w:t>
            </w:r>
          </w:p>
          <w:p>
            <w:pPr>
              <w:ind w:firstLine="420" w:firstLineChars="200"/>
              <w:rPr>
                <w:rFonts w:ascii="宋体" w:hAnsi="宋体" w:cs="宋体"/>
              </w:rPr>
            </w:pPr>
            <w:r>
              <w:rPr>
                <w:rFonts w:hint="eastAsia"/>
              </w:rPr>
              <w:t>午餐后乘车前往丽江</w:t>
            </w:r>
            <w:r>
              <w:rPr>
                <w:rFonts w:hint="eastAsia"/>
                <w:b/>
                <w:bCs/>
                <w:color w:val="FF0000"/>
              </w:rPr>
              <w:t>【黑龙潭公园】</w:t>
            </w:r>
            <w:r>
              <w:rPr>
                <w:rFonts w:hint="eastAsia"/>
              </w:rPr>
              <w:t>游玩。国内名为“黑龙潭公园”的景区以丽江黑龙潭最为有名。潭水从石缝间涌涌喷出，依山斛清泉汇成四万平方米潭面。四周山清水秀，柳暗花明。依山傍水造型优美的古建筑点缀其间，流韵溢彩，常引人驻足留连。远处玉龙雪山倒遇潭中，可见“雪山四万八千丈，银屏一角深插底”的奇景。象山半壁也映入水中，使黑龙潭山中有水，水中有山，山水相映，景色无比秀丽。游玩结束后入住酒店休息。今日</w:t>
            </w:r>
            <w:r>
              <w:t>不含晚餐，晚餐</w:t>
            </w:r>
            <w:r>
              <w:rPr>
                <w:rFonts w:hint="eastAsia"/>
              </w:rPr>
              <w:t>敬请</w:t>
            </w:r>
            <w:r>
              <w:t>自理</w:t>
            </w:r>
            <w:r>
              <w:rPr>
                <w:rFonts w:hint="eastAsia"/>
              </w:rPr>
              <w:t>！</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kern w:val="0"/>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 xml:space="preserve">中 </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867"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4</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cs="宋体" w:asciiTheme="minorEastAsia" w:hAnsiTheme="minorEastAsia" w:eastAsiaTheme="minorEastAsia"/>
                <w:b/>
                <w:bCs/>
              </w:rPr>
              <w:t>-</w:t>
            </w:r>
            <w:r>
              <w:rPr>
                <w:rFonts w:hint="eastAsia" w:cs="宋体" w:asciiTheme="minorEastAsia" w:hAnsiTheme="minorEastAsia" w:eastAsiaTheme="minorEastAsia"/>
                <w:b/>
                <w:bCs/>
              </w:rPr>
              <w:t>重庆</w:t>
            </w:r>
          </w:p>
        </w:tc>
        <w:tc>
          <w:tcPr>
            <w:tcW w:w="9299" w:type="dxa"/>
          </w:tcPr>
          <w:p>
            <w:pPr>
              <w:ind w:firstLine="482" w:firstLineChars="200"/>
              <w:rPr>
                <w:rFonts w:ascii="宋体" w:hAnsi="宋体" w:cs="宋体"/>
              </w:rPr>
            </w:pPr>
            <w:r>
              <w:rPr>
                <w:rFonts w:hint="eastAsia" w:ascii="新宋体" w:hAnsi="新宋体" w:eastAsia="新宋体" w:cs="新宋体"/>
                <w:b/>
                <w:bCs/>
                <w:sz w:val="24"/>
                <w:szCs w:val="32"/>
              </w:rPr>
              <w:t>丽江送机</w:t>
            </w:r>
            <w:r>
              <w:rPr>
                <w:rFonts w:ascii="新宋体" w:hAnsi="新宋体" w:eastAsia="新宋体" w:cs="新宋体"/>
                <w:b/>
                <w:bCs/>
                <w:sz w:val="24"/>
                <w:szCs w:val="32"/>
              </w:rPr>
              <w:t>→</w:t>
            </w:r>
            <w:r>
              <w:rPr>
                <w:rFonts w:hint="eastAsia" w:ascii="新宋体" w:hAnsi="新宋体" w:eastAsia="新宋体" w:cs="新宋体"/>
                <w:b/>
                <w:bCs/>
                <w:sz w:val="24"/>
                <w:szCs w:val="32"/>
              </w:rPr>
              <w:t>温馨的家</w:t>
            </w:r>
          </w:p>
          <w:p>
            <w:pPr>
              <w:ind w:firstLine="420" w:firstLineChars="200"/>
              <w:rPr>
                <w:rFonts w:ascii="宋体" w:hAnsi="宋体" w:cs="宋体"/>
              </w:rPr>
            </w:pPr>
            <w:r>
              <w:rPr>
                <w:rFonts w:hint="eastAsia" w:ascii="宋体" w:hAnsi="宋体" w:cs="宋体"/>
              </w:rPr>
              <w:t>根据飞机时间安排工作人员送站，结束愉快的旅程。</w:t>
            </w:r>
          </w:p>
        </w:tc>
        <w:tc>
          <w:tcPr>
            <w:tcW w:w="645" w:type="dxa"/>
            <w:vAlign w:val="center"/>
          </w:tcPr>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p>
      <w:pPr>
        <w:spacing w:line="240" w:lineRule="atLeast"/>
        <w:rPr>
          <w:rFonts w:ascii="宋体" w:hAnsi="宋体" w:cs="宋体"/>
          <w:b/>
          <w:bCs/>
          <w:color w:val="FF0000"/>
          <w:sz w:val="30"/>
          <w:szCs w:val="30"/>
        </w:rPr>
      </w:pPr>
    </w:p>
    <w:tbl>
      <w:tblPr>
        <w:tblStyle w:val="7"/>
        <w:tblW w:w="11646"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4"/>
        <w:gridCol w:w="10452"/>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asciiTheme="minorEastAsia" w:hAnsiTheme="minorEastAsia" w:eastAsiaTheme="minorEastAsia"/>
                <w:color w:val="000000"/>
              </w:rPr>
            </w:pPr>
            <w:r>
              <w:rPr>
                <w:rFonts w:hint="eastAsia" w:cs="宋体" w:asciiTheme="minorEastAsia" w:hAnsiTheme="minorEastAsia" w:eastAsiaTheme="minorEastAsia"/>
              </w:rPr>
              <w:t>丽江参考酒店:</w:t>
            </w:r>
            <w:r>
              <w:rPr>
                <w:rFonts w:hint="eastAsia" w:ascii="楷体" w:hAnsi="楷体" w:eastAsia="楷体" w:cs="楷体"/>
                <w:sz w:val="24"/>
                <w:szCs w:val="24"/>
              </w:rPr>
              <w:t xml:space="preserve"> </w:t>
            </w:r>
            <w:r>
              <w:rPr>
                <w:rFonts w:hint="eastAsia" w:cs="楷体" w:asciiTheme="minorEastAsia" w:hAnsiTheme="minorEastAsia" w:eastAsiaTheme="minorEastAsia"/>
              </w:rPr>
              <w:t>晏泰酒店、福乾酒店、豪玺大酒店、派酒店、至爱酒店等同等级酒店。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vAlign w:val="center"/>
          </w:tcPr>
          <w:p>
            <w:pPr>
              <w:rPr>
                <w:rFonts w:ascii="宋体" w:hAnsi="宋体" w:cs="宋体"/>
              </w:rPr>
            </w:pPr>
            <w:r>
              <w:rPr>
                <w:rFonts w:hint="eastAsia" w:ascii="宋体" w:hAnsi="宋体" w:cs="宋体"/>
              </w:rPr>
              <w:t>用餐标准：3早餐/3正餐，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Pr>
          <w:p>
            <w:pPr>
              <w:spacing w:line="240" w:lineRule="atLeast"/>
              <w:jc w:val="left"/>
              <w:rPr>
                <w:rFonts w:ascii="宋体" w:cs="Times New Roman"/>
                <w:color w:val="000000"/>
              </w:rPr>
            </w:pPr>
            <w:r>
              <w:rPr>
                <w:rFonts w:hint="eastAsia" w:ascii="宋体" w:hAnsi="宋体" w:cs="宋体"/>
                <w:color w:val="000000"/>
              </w:rPr>
              <w:t>云南为高海拔地区</w:t>
            </w:r>
            <w:r>
              <w:rPr>
                <w:rFonts w:ascii="宋体" w:cs="宋体"/>
                <w:color w:val="000000"/>
              </w:rPr>
              <w:t>,</w:t>
            </w:r>
            <w:r>
              <w:rPr>
                <w:rFonts w:hint="eastAsia" w:ascii="宋体" w:hAnsi="宋体" w:cs="宋体"/>
                <w:color w:val="000000"/>
              </w:rPr>
              <w:t>为确保游客人身安全，</w:t>
            </w:r>
            <w:r>
              <w:rPr>
                <w:rFonts w:ascii="宋体" w:hAnsi="宋体" w:cs="宋体"/>
                <w:color w:val="000000"/>
              </w:rPr>
              <w:t>65</w:t>
            </w:r>
            <w:r>
              <w:rPr>
                <w:rFonts w:hint="eastAsia" w:ascii="宋体" w:hAnsi="宋体" w:cs="宋体"/>
                <w:color w:val="000000"/>
              </w:rPr>
              <w:t>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Pr>
          <w:p>
            <w:pPr>
              <w:jc w:val="left"/>
              <w:rPr>
                <w:rFonts w:ascii="宋体" w:cs="Times New Roman"/>
                <w:color w:val="000000"/>
              </w:rPr>
            </w:pPr>
            <w:r>
              <w:rPr>
                <w:rFonts w:ascii="宋体" w:hAnsi="宋体" w:cs="Arial"/>
                <w:kern w:val="0"/>
                <w:shd w:val="clear" w:color="auto" w:fill="FFFFFF"/>
              </w:rPr>
              <w:t>12</w:t>
            </w:r>
            <w:r>
              <w:rPr>
                <w:rFonts w:hint="eastAsia" w:ascii="宋体" w:hAnsi="宋体" w:cs="Arial"/>
                <w:kern w:val="0"/>
                <w:shd w:val="clear" w:color="auto" w:fill="FFFFFF"/>
              </w:rPr>
              <w:t>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769" w:type="dxa"/>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bookmarkStart w:id="0" w:name="_GoBack"/>
      <w:bookmarkEnd w:id="0"/>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8335B"/>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C3828"/>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43FE8"/>
    <w:rsid w:val="00753E71"/>
    <w:rsid w:val="0076400C"/>
    <w:rsid w:val="00765C19"/>
    <w:rsid w:val="007830D9"/>
    <w:rsid w:val="00783D02"/>
    <w:rsid w:val="00790DE7"/>
    <w:rsid w:val="00796CFF"/>
    <w:rsid w:val="007A260D"/>
    <w:rsid w:val="007C2485"/>
    <w:rsid w:val="007C5A79"/>
    <w:rsid w:val="007D3942"/>
    <w:rsid w:val="007D57FB"/>
    <w:rsid w:val="007E14A8"/>
    <w:rsid w:val="007E6043"/>
    <w:rsid w:val="007F2D23"/>
    <w:rsid w:val="008038D0"/>
    <w:rsid w:val="00813FB2"/>
    <w:rsid w:val="00834A9F"/>
    <w:rsid w:val="00834FC6"/>
    <w:rsid w:val="00835B53"/>
    <w:rsid w:val="008548E2"/>
    <w:rsid w:val="00863D92"/>
    <w:rsid w:val="00867E5F"/>
    <w:rsid w:val="008774B4"/>
    <w:rsid w:val="008814EA"/>
    <w:rsid w:val="00892C6D"/>
    <w:rsid w:val="0089556B"/>
    <w:rsid w:val="008A1699"/>
    <w:rsid w:val="008A691D"/>
    <w:rsid w:val="008A7F63"/>
    <w:rsid w:val="008B1B30"/>
    <w:rsid w:val="008C367A"/>
    <w:rsid w:val="008D44FE"/>
    <w:rsid w:val="008D6E47"/>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2C34"/>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4153B"/>
    <w:rsid w:val="00F568A4"/>
    <w:rsid w:val="00F61F6A"/>
    <w:rsid w:val="00F7020B"/>
    <w:rsid w:val="00F76648"/>
    <w:rsid w:val="00FB6386"/>
    <w:rsid w:val="00FB7763"/>
    <w:rsid w:val="00FD26A3"/>
    <w:rsid w:val="00FE0143"/>
    <w:rsid w:val="00FE19C0"/>
    <w:rsid w:val="03574ED6"/>
    <w:rsid w:val="03D73FFB"/>
    <w:rsid w:val="041D7528"/>
    <w:rsid w:val="04C12C20"/>
    <w:rsid w:val="069425BA"/>
    <w:rsid w:val="08AC568C"/>
    <w:rsid w:val="08F65BB1"/>
    <w:rsid w:val="09F63659"/>
    <w:rsid w:val="0AD96C37"/>
    <w:rsid w:val="0B657132"/>
    <w:rsid w:val="0CA5774A"/>
    <w:rsid w:val="0D0455D2"/>
    <w:rsid w:val="0D1B1B02"/>
    <w:rsid w:val="10182056"/>
    <w:rsid w:val="120B6828"/>
    <w:rsid w:val="123C1788"/>
    <w:rsid w:val="12D71963"/>
    <w:rsid w:val="139674FA"/>
    <w:rsid w:val="1502145F"/>
    <w:rsid w:val="16554407"/>
    <w:rsid w:val="17781AD4"/>
    <w:rsid w:val="17DA36D1"/>
    <w:rsid w:val="18750940"/>
    <w:rsid w:val="1A705ECD"/>
    <w:rsid w:val="1AA76E72"/>
    <w:rsid w:val="1AB970A5"/>
    <w:rsid w:val="1CBB6978"/>
    <w:rsid w:val="1D50668E"/>
    <w:rsid w:val="1DB8698F"/>
    <w:rsid w:val="2011501A"/>
    <w:rsid w:val="20AF3401"/>
    <w:rsid w:val="20B70C2B"/>
    <w:rsid w:val="20C10FF5"/>
    <w:rsid w:val="20D7429E"/>
    <w:rsid w:val="21246237"/>
    <w:rsid w:val="21523697"/>
    <w:rsid w:val="21612B04"/>
    <w:rsid w:val="22045AF8"/>
    <w:rsid w:val="22B62369"/>
    <w:rsid w:val="232A149E"/>
    <w:rsid w:val="235F4B9A"/>
    <w:rsid w:val="24F61A04"/>
    <w:rsid w:val="251D47ED"/>
    <w:rsid w:val="27A051A6"/>
    <w:rsid w:val="27D03D5D"/>
    <w:rsid w:val="2A5E765F"/>
    <w:rsid w:val="2AB11CC3"/>
    <w:rsid w:val="2B5267E5"/>
    <w:rsid w:val="2B573D14"/>
    <w:rsid w:val="2B7E5D2C"/>
    <w:rsid w:val="2CD02DD6"/>
    <w:rsid w:val="2D370539"/>
    <w:rsid w:val="2D6B0CE1"/>
    <w:rsid w:val="2E0B0F16"/>
    <w:rsid w:val="2F7D26C1"/>
    <w:rsid w:val="2F821F00"/>
    <w:rsid w:val="31386894"/>
    <w:rsid w:val="341357F4"/>
    <w:rsid w:val="34FE0F51"/>
    <w:rsid w:val="360E156E"/>
    <w:rsid w:val="371F159B"/>
    <w:rsid w:val="38575539"/>
    <w:rsid w:val="39C976D9"/>
    <w:rsid w:val="3B2516EC"/>
    <w:rsid w:val="3BCA2F26"/>
    <w:rsid w:val="3C5E315D"/>
    <w:rsid w:val="3C7754CE"/>
    <w:rsid w:val="3CB302C7"/>
    <w:rsid w:val="3CCD06CC"/>
    <w:rsid w:val="3F4B1913"/>
    <w:rsid w:val="3FB031D4"/>
    <w:rsid w:val="403C6544"/>
    <w:rsid w:val="406773D9"/>
    <w:rsid w:val="40AB2009"/>
    <w:rsid w:val="41016BD7"/>
    <w:rsid w:val="419C1D47"/>
    <w:rsid w:val="444F46FF"/>
    <w:rsid w:val="44C264C8"/>
    <w:rsid w:val="450C12E6"/>
    <w:rsid w:val="472D46B2"/>
    <w:rsid w:val="48FB07E8"/>
    <w:rsid w:val="4A322073"/>
    <w:rsid w:val="4A471BF8"/>
    <w:rsid w:val="4A9A781E"/>
    <w:rsid w:val="4B3B24D2"/>
    <w:rsid w:val="4BF67BC8"/>
    <w:rsid w:val="4CE6021F"/>
    <w:rsid w:val="4D2A70D2"/>
    <w:rsid w:val="4DC374DD"/>
    <w:rsid w:val="4F13257B"/>
    <w:rsid w:val="4F450E4A"/>
    <w:rsid w:val="4FE4175B"/>
    <w:rsid w:val="52871556"/>
    <w:rsid w:val="52A46B10"/>
    <w:rsid w:val="551422B3"/>
    <w:rsid w:val="55A068D1"/>
    <w:rsid w:val="5765479D"/>
    <w:rsid w:val="57AA40C1"/>
    <w:rsid w:val="582E171A"/>
    <w:rsid w:val="59851DA0"/>
    <w:rsid w:val="599F528C"/>
    <w:rsid w:val="5A467CFC"/>
    <w:rsid w:val="5B370043"/>
    <w:rsid w:val="5BBE4296"/>
    <w:rsid w:val="5C6A473E"/>
    <w:rsid w:val="5CEF11D4"/>
    <w:rsid w:val="5D14241A"/>
    <w:rsid w:val="5E430C9E"/>
    <w:rsid w:val="5F6D5E12"/>
    <w:rsid w:val="5F8D4610"/>
    <w:rsid w:val="603231A9"/>
    <w:rsid w:val="60777175"/>
    <w:rsid w:val="61562002"/>
    <w:rsid w:val="621B00FD"/>
    <w:rsid w:val="633C2F1B"/>
    <w:rsid w:val="634228E2"/>
    <w:rsid w:val="634A312C"/>
    <w:rsid w:val="64543D07"/>
    <w:rsid w:val="65306FDE"/>
    <w:rsid w:val="658867FC"/>
    <w:rsid w:val="68775C2B"/>
    <w:rsid w:val="68EE2F61"/>
    <w:rsid w:val="69603269"/>
    <w:rsid w:val="697F6742"/>
    <w:rsid w:val="69F11F98"/>
    <w:rsid w:val="6A416686"/>
    <w:rsid w:val="6A6F224C"/>
    <w:rsid w:val="6C935FBC"/>
    <w:rsid w:val="6CB94E85"/>
    <w:rsid w:val="6D0335EE"/>
    <w:rsid w:val="6D0D3028"/>
    <w:rsid w:val="6D23035D"/>
    <w:rsid w:val="6E9F2591"/>
    <w:rsid w:val="6EDD6295"/>
    <w:rsid w:val="6F0B2BDA"/>
    <w:rsid w:val="6F8C1F49"/>
    <w:rsid w:val="6FAC0F02"/>
    <w:rsid w:val="70127229"/>
    <w:rsid w:val="708A7705"/>
    <w:rsid w:val="71034834"/>
    <w:rsid w:val="712852F8"/>
    <w:rsid w:val="729C6319"/>
    <w:rsid w:val="73570E18"/>
    <w:rsid w:val="7395571E"/>
    <w:rsid w:val="75677D93"/>
    <w:rsid w:val="757358C9"/>
    <w:rsid w:val="760320B1"/>
    <w:rsid w:val="76F610B9"/>
    <w:rsid w:val="78AF0AA0"/>
    <w:rsid w:val="7AD62D69"/>
    <w:rsid w:val="7B254595"/>
    <w:rsid w:val="7B5A42AD"/>
    <w:rsid w:val="7B7B0CE6"/>
    <w:rsid w:val="7BAB59DE"/>
    <w:rsid w:val="7CD50B6E"/>
    <w:rsid w:val="7D9A53BC"/>
    <w:rsid w:val="7EBC4392"/>
    <w:rsid w:val="7F1B5745"/>
    <w:rsid w:val="7F225F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5010</Words>
  <Characters>232</Characters>
  <Lines>1</Lines>
  <Paragraphs>10</Paragraphs>
  <TotalTime>8</TotalTime>
  <ScaleCrop>false</ScaleCrop>
  <LinksUpToDate>false</LinksUpToDate>
  <CharactersWithSpaces>5232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2020-06-30T01:43:00Z</dcterms:created>
  <dc:creator>zhenxu</dc:creator>
  <cp:lastModifiedBy>国丰游游江山唐一平</cp:lastModifiedBy>
  <cp:lastPrinted>2015-11-20T08:19:00Z</cp:lastPrinted>
  <dcterms:modified xsi:type="dcterms:W3CDTF">2020-11-17T02:23:57Z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