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2DCDB" w:themeColor="accent2" w:themeTint="33"/>
  <w:body>
    <w:p>
      <w:pPr>
        <w:pStyle w:val="3"/>
        <w:widowControl/>
        <w:spacing w:beforeAutospacing="0" w:afterAutospacing="0"/>
        <w:jc w:val="center"/>
        <w:rPr>
          <w:rFonts w:hint="eastAsia"/>
          <w:b/>
          <w:bCs/>
          <w:color w:val="0070C0"/>
          <w:sz w:val="44"/>
          <w:szCs w:val="44"/>
          <w:lang w:val="en-US" w:eastAsia="zh-CN"/>
        </w:rPr>
      </w:pPr>
      <w:bookmarkStart w:id="0" w:name="_GoBack"/>
      <w:r>
        <w:rPr>
          <w:rFonts w:hint="eastAsia"/>
          <w:b/>
          <w:bCs/>
          <w:color w:val="0070C0"/>
          <w:sz w:val="44"/>
          <w:szCs w:val="4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-447675</wp:posOffset>
            </wp:positionV>
            <wp:extent cx="7565390" cy="10699750"/>
            <wp:effectExtent l="0" t="0" r="16510" b="6350"/>
            <wp:wrapSquare wrapText="bothSides"/>
            <wp:docPr id="9" name="图片 9" descr="2b386ebbb19814918fba322417858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b386ebbb19814918fba322417858b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b/>
          <w:bCs/>
          <w:color w:val="0070C0"/>
          <w:sz w:val="44"/>
          <w:szCs w:val="44"/>
          <w:lang w:val="en-US" w:eastAsia="zh-CN"/>
        </w:rPr>
        <w:t xml:space="preserve">                                                                                       </w:t>
      </w:r>
    </w:p>
    <w:p>
      <w:pPr>
        <w:pStyle w:val="3"/>
        <w:widowControl/>
        <w:spacing w:beforeAutospacing="0" w:afterAutospacing="0"/>
        <w:jc w:val="center"/>
        <w:rPr>
          <w:rFonts w:hint="eastAsia"/>
          <w:b/>
          <w:bCs/>
          <w:color w:val="0070C0"/>
          <w:sz w:val="44"/>
          <w:szCs w:val="44"/>
          <w:lang w:val="en-US" w:eastAsia="zh-CN"/>
        </w:rPr>
      </w:pPr>
      <w:r>
        <w:rPr>
          <w:rFonts w:hint="eastAsia"/>
          <w:b/>
          <w:bCs/>
          <w:color w:val="0070C0"/>
          <w:sz w:val="44"/>
          <w:szCs w:val="44"/>
          <w:lang w:val="en-US" w:eastAsia="zh-CN"/>
        </w:rPr>
        <w:t>迷厦南澳</w:t>
      </w:r>
    </w:p>
    <w:p>
      <w:pPr>
        <w:pStyle w:val="3"/>
        <w:widowControl/>
        <w:spacing w:beforeAutospacing="0" w:afterAutospacing="0"/>
        <w:jc w:val="center"/>
        <w:rPr>
          <w:rFonts w:hint="eastAsia"/>
          <w:b/>
          <w:bCs/>
          <w:color w:val="0070C0"/>
          <w:sz w:val="44"/>
          <w:szCs w:val="44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厦门鼓浪屿、潮汕南澳岛、云水谣土楼双飞六日游</w:t>
      </w:r>
    </w:p>
    <w:tbl>
      <w:tblPr>
        <w:tblStyle w:val="4"/>
        <w:tblpPr w:leftFromText="180" w:rightFromText="180" w:vertAnchor="text" w:horzAnchor="page" w:tblpX="792" w:tblpY="579"/>
        <w:tblOverlap w:val="never"/>
        <w:tblW w:w="10680" w:type="dxa"/>
        <w:tblCellSpacing w:w="20" w:type="dxa"/>
        <w:tblInd w:w="0" w:type="dxa"/>
        <w:tblBorders>
          <w:top w:val="single" w:color="0070C0" w:sz="12" w:space="0"/>
          <w:left w:val="single" w:color="0070C0" w:sz="12" w:space="0"/>
          <w:bottom w:val="single" w:color="0070C0" w:sz="12" w:space="0"/>
          <w:right w:val="single" w:color="0070C0" w:sz="12" w:space="0"/>
          <w:insideH w:val="single" w:color="0070C0" w:sz="12" w:space="0"/>
          <w:insideV w:val="single" w:color="0070C0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5"/>
        <w:gridCol w:w="7630"/>
        <w:gridCol w:w="1080"/>
        <w:gridCol w:w="1015"/>
      </w:tblGrid>
      <w:tr>
        <w:tblPrEx>
          <w:tblBorders>
            <w:top w:val="single" w:color="0070C0" w:sz="12" w:space="0"/>
            <w:left w:val="single" w:color="0070C0" w:sz="12" w:space="0"/>
            <w:bottom w:val="single" w:color="0070C0" w:sz="12" w:space="0"/>
            <w:right w:val="single" w:color="0070C0" w:sz="12" w:space="0"/>
            <w:insideH w:val="single" w:color="0070C0" w:sz="12" w:space="0"/>
            <w:insideV w:val="single" w:color="0070C0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  <w:tblCellSpacing w:w="20" w:type="dxa"/>
        </w:trPr>
        <w:tc>
          <w:tcPr>
            <w:tcW w:w="895" w:type="dxa"/>
            <w:vAlign w:val="center"/>
          </w:tcPr>
          <w:p>
            <w:pPr>
              <w:spacing w:line="360" w:lineRule="exact"/>
              <w:rPr>
                <w:rFonts w:ascii="宋体" w:cs="宋体"/>
                <w:b/>
                <w:sz w:val="22"/>
              </w:rPr>
            </w:pPr>
            <w:r>
              <w:rPr>
                <w:rFonts w:hint="eastAsia" w:ascii="宋体" w:hAnsi="宋体" w:cs="宋体"/>
                <w:b/>
                <w:sz w:val="22"/>
              </w:rPr>
              <w:t>时间</w:t>
            </w:r>
          </w:p>
        </w:tc>
        <w:tc>
          <w:tcPr>
            <w:tcW w:w="7590" w:type="dxa"/>
            <w:vAlign w:val="center"/>
          </w:tcPr>
          <w:p>
            <w:pPr>
              <w:spacing w:line="360" w:lineRule="exact"/>
              <w:jc w:val="center"/>
              <w:rPr>
                <w:rFonts w:ascii="宋体" w:cs="宋体"/>
                <w:b/>
                <w:sz w:val="22"/>
              </w:rPr>
            </w:pPr>
            <w:r>
              <w:rPr>
                <w:rFonts w:hint="eastAsia" w:ascii="宋体" w:hAnsi="宋体" w:cs="宋体"/>
                <w:b/>
                <w:sz w:val="22"/>
              </w:rPr>
              <w:t>行程安排</w:t>
            </w:r>
          </w:p>
        </w:tc>
        <w:tc>
          <w:tcPr>
            <w:tcW w:w="1040" w:type="dxa"/>
            <w:vAlign w:val="center"/>
          </w:tcPr>
          <w:p>
            <w:pPr>
              <w:spacing w:line="360" w:lineRule="exact"/>
              <w:rPr>
                <w:rFonts w:ascii="宋体" w:cs="宋体"/>
                <w:b/>
                <w:sz w:val="22"/>
              </w:rPr>
            </w:pPr>
            <w:r>
              <w:rPr>
                <w:rFonts w:hint="eastAsia" w:ascii="宋体" w:hAnsi="宋体" w:cs="宋体"/>
                <w:b/>
                <w:sz w:val="22"/>
              </w:rPr>
              <w:t>用餐</w:t>
            </w:r>
          </w:p>
        </w:tc>
        <w:tc>
          <w:tcPr>
            <w:tcW w:w="955" w:type="dxa"/>
            <w:vAlign w:val="center"/>
          </w:tcPr>
          <w:p>
            <w:pPr>
              <w:spacing w:line="360" w:lineRule="exact"/>
              <w:rPr>
                <w:rFonts w:ascii="宋体" w:cs="宋体"/>
                <w:b/>
                <w:sz w:val="22"/>
              </w:rPr>
            </w:pPr>
            <w:r>
              <w:rPr>
                <w:rFonts w:hint="eastAsia" w:ascii="宋体" w:hAnsi="宋体" w:cs="宋体"/>
                <w:b/>
                <w:sz w:val="22"/>
              </w:rPr>
              <w:t>住宿</w:t>
            </w:r>
          </w:p>
        </w:tc>
      </w:tr>
      <w:tr>
        <w:tblPrEx>
          <w:tblBorders>
            <w:top w:val="single" w:color="0070C0" w:sz="12" w:space="0"/>
            <w:left w:val="single" w:color="0070C0" w:sz="12" w:space="0"/>
            <w:bottom w:val="single" w:color="0070C0" w:sz="12" w:space="0"/>
            <w:right w:val="single" w:color="0070C0" w:sz="12" w:space="0"/>
            <w:insideH w:val="single" w:color="0070C0" w:sz="12" w:space="0"/>
            <w:insideV w:val="single" w:color="0070C0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0" w:hRule="atLeast"/>
          <w:tblCellSpacing w:w="20" w:type="dxa"/>
        </w:trPr>
        <w:tc>
          <w:tcPr>
            <w:tcW w:w="895" w:type="dxa"/>
            <w:vAlign w:val="center"/>
          </w:tcPr>
          <w:p>
            <w:pPr>
              <w:tabs>
                <w:tab w:val="left" w:pos="6066"/>
              </w:tabs>
              <w:spacing w:line="360" w:lineRule="exact"/>
              <w:rPr>
                <w:rFonts w:ascii="宋体" w:hAnsi="宋体" w:cs="宋体"/>
                <w:b/>
                <w:sz w:val="22"/>
              </w:rPr>
            </w:pPr>
            <w:r>
              <w:rPr>
                <w:rFonts w:ascii="宋体" w:hAnsi="宋体" w:cs="宋体"/>
                <w:b/>
                <w:sz w:val="22"/>
              </w:rPr>
              <w:t>D1</w:t>
            </w:r>
          </w:p>
        </w:tc>
        <w:tc>
          <w:tcPr>
            <w:tcW w:w="7590" w:type="dxa"/>
            <w:vAlign w:val="center"/>
          </w:tcPr>
          <w:p>
            <w:pPr>
              <w:pStyle w:val="3"/>
              <w:widowControl/>
              <w:spacing w:beforeAutospacing="0" w:afterAutospacing="0" w:line="360" w:lineRule="exact"/>
              <w:rPr>
                <w:rStyle w:val="6"/>
                <w:rFonts w:ascii="宋体" w:cs="宋体"/>
                <w:sz w:val="22"/>
              </w:rPr>
            </w:pPr>
            <w:r>
              <w:rPr>
                <w:rFonts w:hint="eastAsia" w:ascii="宋体" w:hAnsi="宋体" w:eastAsia="宋体" w:cs="微软雅黑"/>
                <w:color w:val="000000"/>
                <w:kern w:val="0"/>
                <w:szCs w:val="21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2494915</wp:posOffset>
                  </wp:positionH>
                  <wp:positionV relativeFrom="paragraph">
                    <wp:posOffset>165100</wp:posOffset>
                  </wp:positionV>
                  <wp:extent cx="2122805" cy="1535430"/>
                  <wp:effectExtent l="0" t="0" r="10795" b="45720"/>
                  <wp:wrapTight wrapText="bothSides">
                    <wp:wrapPolygon>
                      <wp:start x="0" y="0"/>
                      <wp:lineTo x="0" y="21439"/>
                      <wp:lineTo x="21322" y="21439"/>
                      <wp:lineTo x="21322" y="0"/>
                      <wp:lineTo x="0" y="0"/>
                    </wp:wrapPolygon>
                  </wp:wrapTight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80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6"/>
                <w:rFonts w:hint="eastAsia" w:ascii="宋体" w:hAnsi="宋体" w:cs="宋体"/>
                <w:sz w:val="22"/>
              </w:rPr>
              <w:t>昆明</w:t>
            </w:r>
            <w:r>
              <w:rPr>
                <w:rStyle w:val="6"/>
                <w:rFonts w:ascii="宋体" w:hAnsi="宋体" w:cs="宋体"/>
                <w:sz w:val="22"/>
              </w:rPr>
              <w:t>-</w:t>
            </w:r>
            <w:r>
              <w:rPr>
                <w:rStyle w:val="6"/>
                <w:rFonts w:hint="eastAsia" w:ascii="宋体" w:hAnsi="宋体" w:cs="宋体"/>
                <w:sz w:val="22"/>
              </w:rPr>
              <w:t>揭阳</w:t>
            </w:r>
          </w:p>
          <w:p>
            <w:pPr>
              <w:pStyle w:val="3"/>
              <w:widowControl/>
              <w:spacing w:beforeAutospacing="0" w:afterAutospacing="0" w:line="360" w:lineRule="exact"/>
              <w:rPr>
                <w:rFonts w:ascii="宋体" w:cs="宋体"/>
                <w:sz w:val="22"/>
              </w:rPr>
            </w:pPr>
            <w:r>
              <w:rPr>
                <w:rStyle w:val="6"/>
                <w:rFonts w:hint="eastAsia" w:ascii="宋体" w:hAnsi="宋体" w:cs="宋体"/>
                <w:sz w:val="22"/>
              </w:rPr>
              <w:t>参考航班：昆明</w:t>
            </w:r>
            <w:r>
              <w:rPr>
                <w:rStyle w:val="6"/>
                <w:rFonts w:ascii="宋体" w:hAnsi="宋体" w:cs="宋体"/>
                <w:sz w:val="22"/>
              </w:rPr>
              <w:t>-</w:t>
            </w:r>
            <w:r>
              <w:rPr>
                <w:rStyle w:val="6"/>
                <w:rFonts w:hint="eastAsia" w:ascii="宋体" w:hAnsi="宋体" w:cs="宋体"/>
                <w:sz w:val="22"/>
              </w:rPr>
              <w:t>揭阳</w:t>
            </w:r>
            <w:r>
              <w:rPr>
                <w:rStyle w:val="6"/>
                <w:rFonts w:ascii="宋体" w:hAnsi="宋体" w:cs="宋体"/>
                <w:sz w:val="22"/>
              </w:rPr>
              <w:t>MU5835 17</w:t>
            </w:r>
            <w:r>
              <w:rPr>
                <w:rStyle w:val="6"/>
                <w:rFonts w:hint="eastAsia" w:ascii="宋体" w:hAnsi="宋体" w:cs="宋体"/>
                <w:sz w:val="22"/>
              </w:rPr>
              <w:t>：</w:t>
            </w:r>
            <w:r>
              <w:rPr>
                <w:rStyle w:val="6"/>
                <w:rFonts w:ascii="宋体" w:hAnsi="宋体" w:cs="宋体"/>
                <w:sz w:val="22"/>
              </w:rPr>
              <w:t>35-20</w:t>
            </w:r>
            <w:r>
              <w:rPr>
                <w:rStyle w:val="6"/>
                <w:rFonts w:hint="eastAsia" w:ascii="宋体" w:hAnsi="宋体" w:cs="宋体"/>
                <w:sz w:val="22"/>
              </w:rPr>
              <w:t>：</w:t>
            </w:r>
            <w:r>
              <w:rPr>
                <w:rStyle w:val="6"/>
                <w:rFonts w:ascii="宋体" w:hAnsi="宋体" w:cs="宋体"/>
                <w:sz w:val="22"/>
              </w:rPr>
              <w:t xml:space="preserve">00 </w:t>
            </w:r>
          </w:p>
          <w:p>
            <w:pPr>
              <w:widowControl/>
              <w:jc w:val="left"/>
              <w:rPr>
                <w:rFonts w:hint="eastAsia" w:ascii="宋体" w:hAnsi="宋体" w:eastAsia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微软雅黑"/>
                <w:color w:val="000000"/>
                <w:kern w:val="0"/>
                <w:szCs w:val="21"/>
                <w:lang w:eastAsia="zh-CN"/>
              </w:rPr>
              <w:t>昆明</w:t>
            </w:r>
            <w:r>
              <w:rPr>
                <w:rFonts w:hint="eastAsia" w:ascii="宋体" w:hAnsi="宋体" w:eastAsia="宋体" w:cs="微软雅黑"/>
                <w:color w:val="000000"/>
                <w:kern w:val="0"/>
                <w:szCs w:val="21"/>
              </w:rPr>
              <w:t>机场前往汕头，接机前往酒店办理入住手续，后自由活动。</w:t>
            </w:r>
          </w:p>
          <w:p>
            <w:pPr>
              <w:widowControl/>
              <w:jc w:val="left"/>
              <w:rPr>
                <w:rFonts w:hint="eastAsia" w:ascii="宋体" w:hAnsi="宋体" w:eastAsia="宋体" w:cs="微软雅黑"/>
                <w:b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宋体" w:hAnsi="宋体" w:eastAsia="宋体" w:cs="微软雅黑"/>
                <w:b/>
                <w:bCs/>
                <w:color w:val="FF0000"/>
                <w:kern w:val="0"/>
                <w:szCs w:val="21"/>
              </w:rPr>
              <w:t>夜间游客推荐：</w:t>
            </w:r>
          </w:p>
          <w:p>
            <w:pPr>
              <w:widowControl/>
              <w:jc w:val="left"/>
              <w:rPr>
                <w:rFonts w:hint="eastAsia" w:ascii="宋体" w:hAnsi="宋体" w:eastAsia="宋体" w:cs="微软雅黑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微软雅黑"/>
                <w:color w:val="000000"/>
                <w:kern w:val="0"/>
                <w:sz w:val="18"/>
                <w:szCs w:val="18"/>
              </w:rPr>
              <w:t>浪漫一族：夜间游客可到【人民广场】看喷泉、租赁单车骑行堪称汕头亮丽风景线的【海滨长廊】</w:t>
            </w:r>
          </w:p>
          <w:p>
            <w:pPr>
              <w:widowControl/>
              <w:jc w:val="left"/>
              <w:rPr>
                <w:rFonts w:hint="eastAsia" w:ascii="宋体" w:hAnsi="宋体" w:eastAsia="宋体" w:cs="微软雅黑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微软雅黑"/>
                <w:color w:val="000000"/>
                <w:kern w:val="0"/>
                <w:sz w:val="18"/>
                <w:szCs w:val="18"/>
              </w:rPr>
              <w:t>踏马路一族：游客可到【苏宁广场】【合胜百货】【星湖城】自由闲逛</w:t>
            </w:r>
          </w:p>
          <w:p>
            <w:pPr>
              <w:widowControl/>
              <w:jc w:val="left"/>
              <w:rPr>
                <w:rFonts w:ascii="宋体" w:cs="宋体"/>
                <w:b/>
                <w:sz w:val="22"/>
              </w:rPr>
            </w:pPr>
            <w:r>
              <w:rPr>
                <w:rFonts w:hint="eastAsia" w:ascii="宋体" w:hAnsi="宋体" w:eastAsia="宋体" w:cs="微软雅黑"/>
                <w:color w:val="000000"/>
                <w:kern w:val="0"/>
                <w:sz w:val="18"/>
                <w:szCs w:val="18"/>
              </w:rPr>
              <w:t>吃货一族：汕头长平路、珠江路、百花路美食街以及何种百年老字号自行品尝。</w:t>
            </w:r>
          </w:p>
        </w:tc>
        <w:tc>
          <w:tcPr>
            <w:tcW w:w="1040" w:type="dxa"/>
            <w:vAlign w:val="center"/>
          </w:tcPr>
          <w:p>
            <w:pPr>
              <w:tabs>
                <w:tab w:val="left" w:pos="6066"/>
              </w:tabs>
              <w:spacing w:line="360" w:lineRule="exact"/>
              <w:rPr>
                <w:rFonts w:ascii="宋体" w:cs="宋体"/>
                <w:b/>
                <w:sz w:val="22"/>
              </w:rPr>
            </w:pPr>
            <w:r>
              <w:rPr>
                <w:rFonts w:ascii="宋体" w:hAnsi="宋体" w:cs="宋体"/>
                <w:b/>
                <w:bCs/>
                <w:sz w:val="22"/>
              </w:rPr>
              <w:t>///</w:t>
            </w:r>
          </w:p>
        </w:tc>
        <w:tc>
          <w:tcPr>
            <w:tcW w:w="955" w:type="dxa"/>
            <w:vAlign w:val="center"/>
          </w:tcPr>
          <w:p>
            <w:pPr>
              <w:tabs>
                <w:tab w:val="left" w:pos="6066"/>
              </w:tabs>
              <w:spacing w:line="360" w:lineRule="exact"/>
              <w:rPr>
                <w:rFonts w:ascii="宋体" w:cs="宋体"/>
                <w:b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sz w:val="22"/>
              </w:rPr>
              <w:t>汕头</w:t>
            </w:r>
          </w:p>
        </w:tc>
      </w:tr>
      <w:tr>
        <w:tblPrEx>
          <w:tblBorders>
            <w:top w:val="single" w:color="0070C0" w:sz="12" w:space="0"/>
            <w:left w:val="single" w:color="0070C0" w:sz="12" w:space="0"/>
            <w:bottom w:val="single" w:color="0070C0" w:sz="12" w:space="0"/>
            <w:right w:val="single" w:color="0070C0" w:sz="12" w:space="0"/>
            <w:insideH w:val="single" w:color="0070C0" w:sz="12" w:space="0"/>
            <w:insideV w:val="single" w:color="0070C0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  <w:tblCellSpacing w:w="20" w:type="dxa"/>
        </w:trPr>
        <w:tc>
          <w:tcPr>
            <w:tcW w:w="895" w:type="dxa"/>
            <w:vAlign w:val="center"/>
          </w:tcPr>
          <w:p>
            <w:pPr>
              <w:spacing w:line="360" w:lineRule="exact"/>
              <w:ind w:left="-105" w:leftChars="-50" w:firstLine="110" w:firstLineChars="50"/>
              <w:rPr>
                <w:rFonts w:ascii="宋体" w:hAnsi="宋体" w:cs="宋体"/>
                <w:b/>
                <w:sz w:val="22"/>
              </w:rPr>
            </w:pPr>
            <w:r>
              <w:rPr>
                <w:rFonts w:ascii="宋体" w:hAnsi="宋体" w:cs="宋体"/>
                <w:b/>
                <w:sz w:val="22"/>
              </w:rPr>
              <w:t>D2</w:t>
            </w:r>
          </w:p>
        </w:tc>
        <w:tc>
          <w:tcPr>
            <w:tcW w:w="7590" w:type="dxa"/>
            <w:vAlign w:val="center"/>
          </w:tcPr>
          <w:p>
            <w:pPr>
              <w:pStyle w:val="3"/>
              <w:widowControl/>
              <w:spacing w:beforeAutospacing="0" w:afterAutospacing="0" w:line="360" w:lineRule="exact"/>
              <w:rPr>
                <w:rStyle w:val="6"/>
                <w:rFonts w:ascii="宋体" w:cs="宋体"/>
                <w:sz w:val="22"/>
              </w:rPr>
            </w:pPr>
            <w:r>
              <w:rPr>
                <w:rStyle w:val="6"/>
                <w:rFonts w:hint="eastAsia" w:ascii="宋体" w:hAnsi="宋体" w:cs="宋体"/>
                <w:sz w:val="22"/>
              </w:rPr>
              <w:t>汕头</w:t>
            </w:r>
            <w:r>
              <w:rPr>
                <w:rStyle w:val="6"/>
                <w:rFonts w:ascii="宋体" w:hAnsi="宋体" w:cs="宋体"/>
                <w:sz w:val="22"/>
              </w:rPr>
              <w:t>-</w:t>
            </w:r>
            <w:r>
              <w:rPr>
                <w:rStyle w:val="6"/>
                <w:rFonts w:hint="eastAsia" w:ascii="宋体" w:hAnsi="宋体" w:cs="宋体"/>
                <w:sz w:val="22"/>
              </w:rPr>
              <w:t>厦门</w:t>
            </w:r>
            <w:r>
              <w:rPr>
                <w:rStyle w:val="6"/>
                <w:rFonts w:ascii="宋体" w:hAnsi="宋体" w:cs="宋体"/>
                <w:sz w:val="22"/>
              </w:rPr>
              <w:t>-</w:t>
            </w:r>
            <w:r>
              <w:rPr>
                <w:rStyle w:val="6"/>
                <w:rFonts w:hint="eastAsia" w:ascii="宋体" w:hAnsi="宋体" w:cs="宋体"/>
                <w:sz w:val="22"/>
              </w:rPr>
              <w:t>车技秀</w:t>
            </w:r>
          </w:p>
          <w:p>
            <w:pPr>
              <w:widowControl/>
              <w:spacing w:line="360" w:lineRule="exact"/>
              <w:rPr>
                <w:rFonts w:ascii="宋体" w:cs="微软雅黑"/>
                <w:color w:val="000000"/>
                <w:kern w:val="0"/>
                <w:szCs w:val="21"/>
              </w:rPr>
            </w:pPr>
            <w: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287655</wp:posOffset>
                  </wp:positionV>
                  <wp:extent cx="2324100" cy="1562100"/>
                  <wp:effectExtent l="0" t="0" r="0" b="0"/>
                  <wp:wrapTight wrapText="bothSides">
                    <wp:wrapPolygon>
                      <wp:start x="0" y="0"/>
                      <wp:lineTo x="0" y="21337"/>
                      <wp:lineTo x="21423" y="21337"/>
                      <wp:lineTo x="21423" y="0"/>
                      <wp:lineTo x="0" y="0"/>
                    </wp:wrapPolygon>
                  </wp:wrapTight>
                  <wp:docPr id="2" name="图片 3" descr="7787d6afc2eb3424ce08863013612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7787d6afc2eb3424ce088630136123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微软雅黑"/>
                <w:color w:val="000000"/>
                <w:kern w:val="0"/>
                <w:szCs w:val="21"/>
                <w:lang w:eastAsia="zh-CN"/>
              </w:rPr>
              <w:t>早餐后，</w:t>
            </w: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参观</w:t>
            </w:r>
            <w:r>
              <w:rPr>
                <w:rFonts w:hint="eastAsia" w:ascii="宋体" w:hAnsi="宋体" w:cs="微软雅黑"/>
                <w:b/>
                <w:bCs/>
                <w:color w:val="000000"/>
                <w:kern w:val="0"/>
                <w:szCs w:val="21"/>
              </w:rPr>
              <w:t>【梦幻海岸车技演艺秀】</w:t>
            </w: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首家与国际接轨，最时尚、最顶级、全球巡演意大利梦幻汽车特技表演。</w:t>
            </w:r>
            <w:r>
              <w:rPr>
                <w:rFonts w:ascii="宋体" w:cs="微软雅黑"/>
                <w:color w:val="000000"/>
                <w:kern w:val="0"/>
                <w:szCs w:val="21"/>
              </w:rPr>
              <w:t> </w:t>
            </w: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梦幻汽车表演队旨在让更多国人了解汽车文化，汽车特技文化，亲眼看到电影里才能看到的，汽车漂移，飞车，汽车侧行，等等高难度汽车特技表演。车队曾被好莱坞大牌导演斯皮尔伯格、卡梅隆、卢卡斯等征为御用特技表演车队，在多部好莱坞电影拍摄中作为特技替身和特技指导，其中包括《速度与激情</w:t>
            </w:r>
            <w:r>
              <w:rPr>
                <w:rFonts w:ascii="宋体" w:hAnsi="宋体" w:cs="微软雅黑"/>
                <w:color w:val="000000"/>
                <w:kern w:val="0"/>
                <w:szCs w:val="21"/>
              </w:rPr>
              <w:t>4</w:t>
            </w: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》、</w:t>
            </w:r>
            <w:r>
              <w:rPr>
                <w:rFonts w:ascii="宋体" w:hAnsi="宋体" w:cs="微软雅黑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《死亡飞车》、《玩命快递</w:t>
            </w:r>
            <w:r>
              <w:rPr>
                <w:rFonts w:ascii="宋体" w:hAnsi="宋体" w:cs="微软雅黑"/>
                <w:color w:val="000000"/>
                <w:kern w:val="0"/>
                <w:szCs w:val="21"/>
              </w:rPr>
              <w:t>2</w:t>
            </w: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》等等。梦幻汽车表演队表演节目主要有，底意大利、保加利亚、罗马利亚、英国、韩国盘朝天</w:t>
            </w:r>
            <w:r>
              <w:rPr>
                <w:rFonts w:ascii="宋体" w:hAnsi="宋体" w:cs="微软雅黑"/>
                <w:color w:val="000000"/>
                <w:kern w:val="0"/>
                <w:szCs w:val="21"/>
              </w:rPr>
              <w:t>2</w:t>
            </w: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轮测行，测行中多名车手登车潘越过车，极速漂移、漂移入库、漂移烧胎、飘逸沙滩车、狂想大轮车、美女开车撞火墙等节目，同时节目还穿插青春活力的啦啦操舞蹈，抽奖环节。</w:t>
            </w:r>
          </w:p>
          <w:p>
            <w:pPr>
              <w:widowControl/>
              <w:spacing w:line="360" w:lineRule="exact"/>
              <w:rPr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2378710</wp:posOffset>
                  </wp:positionH>
                  <wp:positionV relativeFrom="paragraph">
                    <wp:posOffset>533400</wp:posOffset>
                  </wp:positionV>
                  <wp:extent cx="2221230" cy="1447800"/>
                  <wp:effectExtent l="0" t="0" r="7620" b="0"/>
                  <wp:wrapTight wrapText="bothSides">
                    <wp:wrapPolygon>
                      <wp:start x="0" y="0"/>
                      <wp:lineTo x="0" y="21316"/>
                      <wp:lineTo x="21489" y="21316"/>
                      <wp:lineTo x="21489" y="0"/>
                      <wp:lineTo x="0" y="0"/>
                    </wp:wrapPolygon>
                  </wp:wrapTight>
                  <wp:docPr id="3" name="图片 4" descr="f507e252dde18f430e2fc2f49441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f507e252dde18f430e2fc2f4944164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23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Tahoma"/>
                <w:color w:val="000000"/>
                <w:szCs w:val="21"/>
              </w:rPr>
              <w:t>特别安排</w:t>
            </w:r>
            <w:r>
              <w:rPr>
                <w:rFonts w:hint="eastAsia" w:cs="Tahoma"/>
                <w:b/>
                <w:bCs/>
                <w:color w:val="000000"/>
                <w:szCs w:val="21"/>
              </w:rPr>
              <w:t>【演武大桥观景平台】</w:t>
            </w:r>
            <w:r>
              <w:rPr>
                <w:rFonts w:hint="eastAsia"/>
                <w:color w:val="000000"/>
                <w:szCs w:val="21"/>
              </w:rPr>
              <w:t>，该平台环包于演武大桥演武路立交的外侧，由三座栈桥和一处观景平台构成。和演武大桥通体洁白的鱼腹式风格一致，观景平台总面积逾一万平方米，平缓地向厦门湾延伸，映着碧海蓝天，可观轮渡、海沧、鼓浪屿及漳州港之景，听浪鼓岩壁。车游金砖首脑专线，《演武大桥》《鹭江道》《海湾公园》。</w:t>
            </w:r>
          </w:p>
          <w:p>
            <w:pPr>
              <w:pStyle w:val="8"/>
              <w:spacing w:line="360" w:lineRule="exact"/>
              <w:ind w:right="59"/>
              <w:rPr>
                <w:rFonts w:ascii="宋体" w:cs="宋体"/>
                <w:sz w:val="22"/>
                <w:szCs w:val="22"/>
              </w:rPr>
            </w:pPr>
            <w:r>
              <w:rPr>
                <w:rFonts w:hint="eastAsia" w:cs="Tahoma"/>
                <w:color w:val="000000"/>
                <w:sz w:val="18"/>
                <w:szCs w:val="18"/>
                <w:lang w:eastAsia="zh-CN"/>
              </w:rPr>
              <w:t>后</w:t>
            </w:r>
            <w:r>
              <w:rPr>
                <w:rFonts w:hint="eastAsia" w:cs="Tahoma"/>
                <w:color w:val="000000"/>
                <w:sz w:val="18"/>
                <w:szCs w:val="18"/>
              </w:rPr>
              <w:t>时间充裕前提下，前往【</w:t>
            </w:r>
            <w:r>
              <w:rPr>
                <w:rFonts w:hint="eastAsia" w:cs="Tahoma"/>
                <w:b/>
                <w:bCs/>
                <w:color w:val="000000"/>
                <w:sz w:val="18"/>
                <w:szCs w:val="18"/>
              </w:rPr>
              <w:t>中山路】</w:t>
            </w:r>
            <w:r>
              <w:rPr>
                <w:rFonts w:hint="eastAsia" w:cs="Tahoma"/>
                <w:color w:val="000000"/>
                <w:sz w:val="18"/>
                <w:szCs w:val="18"/>
              </w:rPr>
              <w:t>自由活动，了解最地道的厦门风情。</w:t>
            </w:r>
          </w:p>
        </w:tc>
        <w:tc>
          <w:tcPr>
            <w:tcW w:w="1040" w:type="dxa"/>
            <w:vAlign w:val="center"/>
          </w:tcPr>
          <w:p>
            <w:pPr>
              <w:tabs>
                <w:tab w:val="left" w:pos="6066"/>
              </w:tabs>
              <w:spacing w:line="360" w:lineRule="exact"/>
              <w:rPr>
                <w:rFonts w:ascii="宋体" w:hAnsi="宋体" w:cs="宋体"/>
                <w:b/>
                <w:bCs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sz w:val="22"/>
              </w:rPr>
              <w:t>早午</w:t>
            </w:r>
            <w:r>
              <w:rPr>
                <w:rFonts w:ascii="宋体" w:hAnsi="宋体" w:cs="宋体"/>
                <w:b/>
                <w:bCs/>
                <w:sz w:val="22"/>
              </w:rPr>
              <w:t>/</w:t>
            </w:r>
          </w:p>
        </w:tc>
        <w:tc>
          <w:tcPr>
            <w:tcW w:w="955" w:type="dxa"/>
            <w:vAlign w:val="center"/>
          </w:tcPr>
          <w:p>
            <w:pPr>
              <w:tabs>
                <w:tab w:val="left" w:pos="6066"/>
              </w:tabs>
              <w:spacing w:line="360" w:lineRule="exact"/>
              <w:rPr>
                <w:rFonts w:ascii="宋体" w:cs="宋体"/>
                <w:b/>
                <w:bCs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sz w:val="22"/>
              </w:rPr>
              <w:t>厦门</w:t>
            </w:r>
          </w:p>
        </w:tc>
      </w:tr>
      <w:tr>
        <w:tblPrEx>
          <w:tblBorders>
            <w:top w:val="single" w:color="0070C0" w:sz="12" w:space="0"/>
            <w:left w:val="single" w:color="0070C0" w:sz="12" w:space="0"/>
            <w:bottom w:val="single" w:color="0070C0" w:sz="12" w:space="0"/>
            <w:right w:val="single" w:color="0070C0" w:sz="12" w:space="0"/>
            <w:insideH w:val="single" w:color="0070C0" w:sz="12" w:space="0"/>
            <w:insideV w:val="single" w:color="0070C0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0" w:hRule="atLeast"/>
          <w:tblCellSpacing w:w="20" w:type="dxa"/>
        </w:trPr>
        <w:tc>
          <w:tcPr>
            <w:tcW w:w="895" w:type="dxa"/>
            <w:vAlign w:val="center"/>
          </w:tcPr>
          <w:p>
            <w:pPr>
              <w:tabs>
                <w:tab w:val="left" w:pos="6066"/>
              </w:tabs>
              <w:spacing w:line="360" w:lineRule="exact"/>
              <w:rPr>
                <w:rFonts w:ascii="宋体" w:hAnsi="宋体" w:cs="宋体"/>
                <w:b/>
                <w:sz w:val="22"/>
              </w:rPr>
            </w:pPr>
            <w:r>
              <w:rPr>
                <w:rFonts w:ascii="宋体" w:hAnsi="宋体" w:cs="宋体"/>
                <w:b/>
                <w:sz w:val="22"/>
              </w:rPr>
              <w:t>D3</w:t>
            </w:r>
          </w:p>
        </w:tc>
        <w:tc>
          <w:tcPr>
            <w:tcW w:w="7590" w:type="dxa"/>
            <w:vAlign w:val="center"/>
          </w:tcPr>
          <w:p>
            <w:pPr>
              <w:pStyle w:val="3"/>
              <w:widowControl/>
              <w:spacing w:beforeAutospacing="0" w:afterAutospacing="0" w:line="360" w:lineRule="exact"/>
              <w:rPr>
                <w:rFonts w:ascii="宋体" w:cs="微软雅黑"/>
                <w:sz w:val="21"/>
                <w:szCs w:val="21"/>
              </w:rPr>
            </w:pPr>
            <w: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2288540</wp:posOffset>
                  </wp:positionH>
                  <wp:positionV relativeFrom="paragraph">
                    <wp:posOffset>546735</wp:posOffset>
                  </wp:positionV>
                  <wp:extent cx="2300605" cy="1541780"/>
                  <wp:effectExtent l="0" t="0" r="4445" b="1270"/>
                  <wp:wrapTight wrapText="bothSides">
                    <wp:wrapPolygon>
                      <wp:start x="-67" y="0"/>
                      <wp:lineTo x="-67" y="21500"/>
                      <wp:lineTo x="21600" y="21500"/>
                      <wp:lineTo x="21600" y="0"/>
                      <wp:lineTo x="-67" y="0"/>
                    </wp:wrapPolygon>
                  </wp:wrapTight>
                  <wp:docPr id="4" name="图片 2" descr="鼓浪屿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鼓浪屿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605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/>
                <w:sz w:val="22"/>
              </w:rPr>
              <w:t>鼓浪屿</w:t>
            </w:r>
            <w:r>
              <w:rPr>
                <w:rFonts w:ascii="宋体" w:hAnsi="宋体" w:cs="宋体"/>
                <w:b/>
                <w:sz w:val="22"/>
              </w:rPr>
              <w:t>-</w:t>
            </w:r>
            <w:r>
              <w:rPr>
                <w:rFonts w:hint="eastAsia" w:ascii="宋体" w:hAnsi="宋体" w:cs="宋体"/>
                <w:b/>
                <w:sz w:val="22"/>
              </w:rPr>
              <w:t>南普陀</w:t>
            </w:r>
            <w:r>
              <w:rPr>
                <w:rFonts w:ascii="宋体" w:hAnsi="宋体" w:cs="宋体"/>
                <w:b/>
                <w:sz w:val="22"/>
              </w:rPr>
              <w:t>-</w:t>
            </w:r>
            <w:r>
              <w:rPr>
                <w:rFonts w:hint="eastAsia" w:ascii="宋体" w:hAnsi="宋体" w:cs="宋体"/>
                <w:b/>
                <w:sz w:val="22"/>
              </w:rPr>
              <w:t>厦大外景</w:t>
            </w:r>
            <w:r>
              <w:rPr>
                <w:rFonts w:ascii="宋体" w:hAnsi="宋体" w:cs="宋体"/>
                <w:b/>
                <w:sz w:val="22"/>
              </w:rPr>
              <w:t>-</w:t>
            </w:r>
            <w:r>
              <w:rPr>
                <w:rFonts w:hint="eastAsia" w:ascii="宋体" w:hAnsi="宋体" w:cs="宋体"/>
                <w:b/>
                <w:sz w:val="22"/>
              </w:rPr>
              <w:t>环岛路</w:t>
            </w:r>
            <w:r>
              <w:rPr>
                <w:rFonts w:ascii="宋体" w:cs="宋体"/>
                <w:b/>
                <w:sz w:val="22"/>
              </w:rPr>
              <w:br w:type="textWrapping"/>
            </w:r>
            <w:r>
              <w:rPr>
                <w:rFonts w:hint="eastAsia" w:ascii="宋体" w:hAnsi="宋体" w:cs="微软雅黑"/>
                <w:sz w:val="21"/>
                <w:szCs w:val="21"/>
                <w:lang w:eastAsia="zh-CN"/>
              </w:rPr>
              <w:t>早餐后，</w:t>
            </w:r>
            <w:r>
              <w:rPr>
                <w:rFonts w:hint="eastAsia" w:ascii="宋体" w:hAnsi="宋体" w:cs="微软雅黑"/>
                <w:sz w:val="21"/>
                <w:szCs w:val="21"/>
              </w:rPr>
              <w:t>根据鼓浪屿船票时间前往厦鼓游轮码头中心前往世界文化遗址之</w:t>
            </w:r>
            <w:r>
              <w:rPr>
                <w:rFonts w:ascii="宋体" w:hAnsi="宋体" w:cs="微软雅黑"/>
                <w:sz w:val="21"/>
                <w:szCs w:val="21"/>
              </w:rPr>
              <w:t>——</w:t>
            </w:r>
            <w:r>
              <w:rPr>
                <w:rFonts w:hint="eastAsia" w:ascii="宋体" w:hAnsi="宋体" w:cs="微软雅黑"/>
                <w:b/>
                <w:bCs/>
                <w:color w:val="000000"/>
                <w:sz w:val="21"/>
                <w:szCs w:val="21"/>
              </w:rPr>
              <w:t>【鼓浪屿】</w:t>
            </w:r>
            <w:r>
              <w:rPr>
                <w:rFonts w:hint="eastAsia" w:ascii="宋体" w:hAnsi="宋体" w:cs="微软雅黑"/>
                <w:sz w:val="21"/>
                <w:szCs w:val="21"/>
              </w:rPr>
              <w:t>鼓浪屿岛上海岸线蜿蜒曲折，坡绥沙细的天然海滨浴场环布四周，岛上岗峦起伏，错落有致。气候宜人，四季如春，远离车马喧嚣；欣赏万国建筑博览楼群，中西合璧的老别墅群，之后您可以在龙头路自由活动，享受完全属于自己的鹭岛之旅：午后的时光是属于那些街边路旁的咖啡馆的，喝咖啡、听音乐、上网、看书、翻杂志、发呆，就是这么慵懒您也可以自由的去品尝特色小吃，到林间小路走一走，到张三疯奶茶店喝杯奶茶，去海边吹风，适时下岛。</w:t>
            </w:r>
          </w:p>
          <w:p>
            <w:pPr>
              <w:pStyle w:val="8"/>
              <w:ind w:right="59"/>
              <w:rPr>
                <w:rFonts w:ascii="宋体" w:cs="微软雅黑"/>
              </w:rPr>
            </w:pPr>
            <w:r>
              <w:rPr>
                <w:rFonts w:hint="eastAsia" w:ascii="宋体" w:hAnsi="宋体" w:cs="微软雅黑"/>
              </w:rPr>
              <w:t>游览</w:t>
            </w:r>
            <w:r>
              <w:rPr>
                <w:rFonts w:hint="eastAsia" w:ascii="宋体" w:hAnsi="宋体" w:cs="微软雅黑"/>
                <w:b/>
                <w:bCs/>
                <w:color w:val="000000"/>
              </w:rPr>
              <w:t>【南普陀寺】</w:t>
            </w:r>
            <w:r>
              <w:rPr>
                <w:rFonts w:hint="eastAsia" w:ascii="宋体" w:hAnsi="宋体" w:cs="微软雅黑"/>
              </w:rPr>
              <w:t>南普陀寺位于福建省厦门市东南五老峰下，面临碧澄海港，该寺占地面积</w:t>
            </w:r>
            <w:r>
              <w:rPr>
                <w:rFonts w:ascii="宋体" w:hAnsi="宋体" w:cs="微软雅黑"/>
              </w:rPr>
              <w:t>25.8</w:t>
            </w:r>
            <w:r>
              <w:rPr>
                <w:rFonts w:hint="eastAsia" w:ascii="宋体" w:hAnsi="宋体" w:cs="微软雅黑"/>
              </w:rPr>
              <w:t>万平方米，建筑面积</w:t>
            </w:r>
            <w:r>
              <w:rPr>
                <w:rFonts w:ascii="宋体" w:hAnsi="宋体" w:cs="微软雅黑"/>
              </w:rPr>
              <w:t>2.1270</w:t>
            </w:r>
            <w:r>
              <w:rPr>
                <w:rFonts w:hint="eastAsia" w:ascii="宋体" w:hAnsi="宋体" w:cs="微软雅黑"/>
              </w:rPr>
              <w:t>万平方米。始建于唐朝末年，称为泗洲寺，宋治平年间改名为普照寺，明朝初年，寺院荒芜，直到清朝康熙年间才得到重建。因其供奉观世音菩萨，与浙江普陀山观音道场类似，又在普陀山以南而得名</w:t>
            </w:r>
            <w:r>
              <w:rPr>
                <w:rFonts w:ascii="宋体" w:hAnsi="宋体" w:cs="微软雅黑"/>
              </w:rPr>
              <w:t>"</w:t>
            </w:r>
            <w:r>
              <w:rPr>
                <w:rFonts w:hint="eastAsia" w:ascii="宋体" w:hAnsi="宋体" w:cs="微软雅黑"/>
              </w:rPr>
              <w:t>南普陀寺</w:t>
            </w:r>
            <w:r>
              <w:rPr>
                <w:rFonts w:ascii="宋体" w:hAnsi="宋体" w:cs="微软雅黑"/>
              </w:rPr>
              <w:t>"</w:t>
            </w:r>
            <w:r>
              <w:rPr>
                <w:rFonts w:hint="eastAsia" w:ascii="宋体" w:hAnsi="宋体" w:cs="微软雅黑"/>
              </w:rPr>
              <w:t>，为闽南佛教胜地之一。</w:t>
            </w:r>
          </w:p>
          <w:p>
            <w:pPr>
              <w:pStyle w:val="8"/>
              <w:spacing w:line="360" w:lineRule="exact"/>
              <w:ind w:right="59"/>
              <w:rPr>
                <w:rFonts w:ascii="宋体" w:cs="微软雅黑"/>
                <w:color w:val="000000"/>
              </w:rPr>
            </w:pPr>
            <w:r>
              <w:rPr>
                <w:rFonts w:hint="eastAsia" w:ascii="宋体" w:hAnsi="宋体" w:cs="微软雅黑"/>
              </w:rPr>
              <w:t>后乘车途经</w:t>
            </w:r>
            <w:r>
              <w:rPr>
                <w:rFonts w:hint="eastAsia" w:ascii="宋体" w:hAnsi="宋体" w:cs="微软雅黑"/>
                <w:b/>
                <w:bCs/>
                <w:color w:val="000000"/>
              </w:rPr>
              <w:t>【厦门大学】</w:t>
            </w:r>
            <w:r>
              <w:rPr>
                <w:rFonts w:hint="eastAsia" w:ascii="宋体" w:hAnsi="宋体" w:cs="微软雅黑"/>
              </w:rPr>
              <w:t>厦门大学，简称厦大（</w:t>
            </w:r>
            <w:r>
              <w:rPr>
                <w:rFonts w:ascii="宋体" w:hAnsi="宋体" w:cs="微软雅黑"/>
              </w:rPr>
              <w:t>XMU</w:t>
            </w:r>
            <w:r>
              <w:rPr>
                <w:rFonts w:hint="eastAsia" w:ascii="宋体" w:hAnsi="宋体" w:cs="微软雅黑"/>
              </w:rPr>
              <w:t>），由著名爱国华侨领袖</w:t>
            </w:r>
            <w:r>
              <w:fldChar w:fldCharType="begin"/>
            </w:r>
            <w:r>
              <w:instrText xml:space="preserve"> HYPERLINK "https://baike.baidu.com/item/%E9%99%88%E5%98%89%E5%BA%9A" \t "https://baike.baidu.com/item/%E5%8E%A6%E9%97%A8%E5%A4%A7%E5%AD%A6/_blank" </w:instrText>
            </w:r>
            <w:r>
              <w:fldChar w:fldCharType="separate"/>
            </w:r>
            <w:r>
              <w:rPr>
                <w:rFonts w:hint="eastAsia" w:ascii="宋体" w:hAnsi="宋体" w:cs="微软雅黑"/>
              </w:rPr>
              <w:t>陈嘉庚</w:t>
            </w:r>
            <w:r>
              <w:rPr>
                <w:rFonts w:hint="eastAsia" w:ascii="宋体" w:hAnsi="宋体" w:cs="微软雅黑"/>
              </w:rPr>
              <w:fldChar w:fldCharType="end"/>
            </w:r>
            <w:r>
              <w:rPr>
                <w:rFonts w:hint="eastAsia" w:ascii="宋体" w:hAnsi="宋体" w:cs="微软雅黑"/>
              </w:rPr>
              <w:t>先生于</w:t>
            </w:r>
            <w:r>
              <w:rPr>
                <w:rFonts w:ascii="宋体" w:hAnsi="宋体" w:cs="微软雅黑"/>
              </w:rPr>
              <w:t>1921</w:t>
            </w:r>
            <w:r>
              <w:rPr>
                <w:rFonts w:hint="eastAsia" w:ascii="宋体" w:hAnsi="宋体" w:cs="微软雅黑"/>
              </w:rPr>
              <w:t>年创</w:t>
            </w:r>
            <w:r>
              <w:rPr>
                <w:rFonts w:hint="eastAsia" w:ascii="宋体" w:hAnsi="宋体" w:cs="微软雅黑"/>
                <w:color w:val="000000"/>
              </w:rPr>
              <w:t>办，是</w:t>
            </w:r>
            <w:r>
              <w:fldChar w:fldCharType="begin"/>
            </w:r>
            <w:r>
              <w:instrText xml:space="preserve"> HYPERLINK "https://baike.baidu.com/item/%E4%B8%AD%E5%9B%BD%E8%BF%91%E4%BB%A3%E6%95%99%E8%82%B2%E5%8F%B2" \t "https://baike.baidu.com/item/%E5%8E%A6%E9%97%A8%E5%A4%A7%E5%AD%A6/_blank" </w:instrText>
            </w:r>
            <w:r>
              <w:fldChar w:fldCharType="separate"/>
            </w:r>
            <w:r>
              <w:rPr>
                <w:rFonts w:hint="eastAsia" w:ascii="宋体" w:hAnsi="宋体" w:cs="微软雅黑"/>
                <w:color w:val="000000"/>
              </w:rPr>
              <w:t>中国近代教育史</w:t>
            </w:r>
            <w:r>
              <w:rPr>
                <w:rFonts w:hint="eastAsia" w:ascii="宋体" w:hAnsi="宋体" w:cs="微软雅黑"/>
                <w:color w:val="000000"/>
              </w:rPr>
              <w:fldChar w:fldCharType="end"/>
            </w:r>
            <w:r>
              <w:rPr>
                <w:rFonts w:hint="eastAsia" w:ascii="宋体" w:hAnsi="宋体" w:cs="微软雅黑"/>
                <w:color w:val="000000"/>
              </w:rPr>
              <w:t>上第一所</w:t>
            </w:r>
            <w:r>
              <w:fldChar w:fldCharType="begin"/>
            </w:r>
            <w:r>
              <w:instrText xml:space="preserve"> HYPERLINK "https://baike.baidu.com/item/%E5%8D%8E%E4%BE%A8" \t "https://baike.baidu.com/item/%E5%8E%A6%E9%97%A8%E5%A4%A7%E5%AD%A6/_blank" </w:instrText>
            </w:r>
            <w:r>
              <w:fldChar w:fldCharType="separate"/>
            </w:r>
            <w:r>
              <w:rPr>
                <w:rFonts w:hint="eastAsia" w:ascii="宋体" w:hAnsi="宋体" w:cs="微软雅黑"/>
                <w:color w:val="000000"/>
              </w:rPr>
              <w:t>华侨</w:t>
            </w:r>
            <w:r>
              <w:rPr>
                <w:rFonts w:hint="eastAsia" w:ascii="宋体" w:hAnsi="宋体" w:cs="微软雅黑"/>
                <w:color w:val="000000"/>
              </w:rPr>
              <w:fldChar w:fldCharType="end"/>
            </w:r>
            <w:r>
              <w:rPr>
                <w:rFonts w:hint="eastAsia" w:ascii="宋体" w:hAnsi="宋体" w:cs="微软雅黑"/>
                <w:color w:val="000000"/>
              </w:rPr>
              <w:t>创办的大学，是国内最早招收研究生的大学之一，中国首个在海外建设独立校园的大学，被誉为</w:t>
            </w:r>
            <w:r>
              <w:rPr>
                <w:rFonts w:hint="eastAsia" w:ascii="宋体" w:cs="微软雅黑"/>
                <w:color w:val="000000"/>
              </w:rPr>
              <w:t>“</w:t>
            </w:r>
            <w:r>
              <w:fldChar w:fldCharType="begin"/>
            </w:r>
            <w:r>
              <w:instrText xml:space="preserve"> HYPERLINK "https://baike.baidu.com/item/%E5%8D%97%E6%96%B9%E4%B9%8B%E5%BC%BA" \t "https://baike.baidu.com/item/%E5%8E%A6%E9%97%A8%E5%A4%A7%E5%AD%A6/_blank" </w:instrText>
            </w:r>
            <w:r>
              <w:fldChar w:fldCharType="separate"/>
            </w:r>
            <w:r>
              <w:rPr>
                <w:rFonts w:hint="eastAsia" w:ascii="宋体" w:hAnsi="宋体" w:cs="微软雅黑"/>
                <w:color w:val="000000"/>
              </w:rPr>
              <w:t>南方之强</w:t>
            </w:r>
            <w:r>
              <w:rPr>
                <w:rFonts w:hint="eastAsia" w:ascii="宋体" w:hAnsi="宋体" w:cs="微软雅黑"/>
                <w:color w:val="000000"/>
              </w:rPr>
              <w:fldChar w:fldCharType="end"/>
            </w:r>
            <w:r>
              <w:rPr>
                <w:rFonts w:hint="eastAsia" w:ascii="宋体" w:cs="微软雅黑"/>
                <w:color w:val="000000"/>
              </w:rPr>
              <w:t>”</w:t>
            </w:r>
            <w:r>
              <w:rPr>
                <w:rFonts w:hint="eastAsia" w:ascii="宋体" w:hAnsi="宋体" w:cs="微软雅黑"/>
                <w:color w:val="000000"/>
              </w:rPr>
              <w:t>。</w:t>
            </w:r>
          </w:p>
          <w:p>
            <w:pPr>
              <w:pStyle w:val="8"/>
              <w:spacing w:line="360" w:lineRule="exact"/>
              <w:ind w:right="59"/>
              <w:rPr>
                <w:rFonts w:cs="Tahoma"/>
              </w:rPr>
            </w:pPr>
            <w: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498475</wp:posOffset>
                  </wp:positionV>
                  <wp:extent cx="2371090" cy="1540510"/>
                  <wp:effectExtent l="0" t="0" r="10160" b="2540"/>
                  <wp:wrapTight wrapText="bothSides">
                    <wp:wrapPolygon>
                      <wp:start x="-78" y="0"/>
                      <wp:lineTo x="-78" y="21462"/>
                      <wp:lineTo x="21600" y="21462"/>
                      <wp:lineTo x="21600" y="0"/>
                      <wp:lineTo x="-78" y="0"/>
                    </wp:wrapPolygon>
                  </wp:wrapTight>
                  <wp:docPr id="5" name="图片 6" descr="5bd0e753b18a812a20a67e77b852d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 descr="5bd0e753b18a812a20a67e77b852d5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090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Tahoma"/>
                <w:color w:val="000000"/>
              </w:rPr>
              <w:t>前往</w:t>
            </w:r>
            <w:r>
              <w:rPr>
                <w:rFonts w:hint="eastAsia" w:cs="Tahoma"/>
                <w:b/>
                <w:bCs/>
                <w:color w:val="000000"/>
              </w:rPr>
              <w:t>【曾厝垵】</w:t>
            </w:r>
            <w:r>
              <w:rPr>
                <w:rFonts w:hint="eastAsia" w:cs="Tahoma"/>
                <w:color w:val="000000"/>
              </w:rPr>
              <w:t>中国最文艺渔村，为“曾厝垵文创村</w:t>
            </w:r>
            <w:r>
              <w:rPr>
                <w:rFonts w:hint="eastAsia" w:cs="Tahoma"/>
                <w:color w:val="000000"/>
                <w:vertAlign w:val="superscript"/>
              </w:rPr>
              <w:t>”</w:t>
            </w:r>
            <w:r>
              <w:rPr>
                <w:rFonts w:hint="eastAsia" w:cs="Tahoma"/>
                <w:color w:val="000000"/>
              </w:rPr>
              <w:t>的简称。别名“曾里”，又称“曾家沃”、“曾家湾”，位于</w:t>
            </w:r>
            <w:r>
              <w:fldChar w:fldCharType="begin"/>
            </w:r>
            <w:r>
              <w:instrText xml:space="preserve"> HYPERLINK "http://baike.baidu.com/view/1035013.htm" \t "_blank" </w:instrText>
            </w:r>
            <w:r>
              <w:fldChar w:fldCharType="separate"/>
            </w:r>
            <w:r>
              <w:rPr>
                <w:rStyle w:val="7"/>
                <w:rFonts w:hint="eastAsia" w:cs="Tahoma"/>
                <w:color w:val="000000"/>
                <w:u w:val="none"/>
              </w:rPr>
              <w:t>厦门岛</w:t>
            </w:r>
            <w:r>
              <w:rPr>
                <w:rStyle w:val="7"/>
                <w:rFonts w:hint="eastAsia" w:cs="Tahoma"/>
                <w:color w:val="000000"/>
                <w:u w:val="none"/>
              </w:rPr>
              <w:fldChar w:fldCharType="end"/>
            </w:r>
            <w:r>
              <w:rPr>
                <w:rFonts w:hint="eastAsia" w:cs="Tahoma"/>
                <w:color w:val="000000"/>
              </w:rPr>
              <w:t>东南部，有</w:t>
            </w:r>
            <w:r>
              <w:fldChar w:fldCharType="begin"/>
            </w:r>
            <w:r>
              <w:instrText xml:space="preserve"> HYPERLINK "http://baike.baidu.com/view/15178697.htm" \t "_blank" </w:instrText>
            </w:r>
            <w:r>
              <w:fldChar w:fldCharType="separate"/>
            </w:r>
            <w:r>
              <w:rPr>
                <w:rStyle w:val="7"/>
                <w:rFonts w:hint="eastAsia" w:cs="Tahoma"/>
                <w:color w:val="000000"/>
                <w:u w:val="none"/>
              </w:rPr>
              <w:t>兔耳岭</w:t>
            </w:r>
            <w:r>
              <w:rPr>
                <w:rStyle w:val="7"/>
                <w:rFonts w:hint="eastAsia" w:cs="Tahoma"/>
                <w:color w:val="000000"/>
                <w:u w:val="none"/>
              </w:rPr>
              <w:fldChar w:fldCharType="end"/>
            </w:r>
            <w:r>
              <w:rPr>
                <w:rFonts w:hint="eastAsia" w:cs="Tahoma"/>
                <w:color w:val="000000"/>
              </w:rPr>
              <w:t>之草，</w:t>
            </w:r>
            <w:r>
              <w:fldChar w:fldCharType="begin"/>
            </w:r>
            <w:r>
              <w:instrText xml:space="preserve"> HYPERLINK "http://baike.baidu.com/view/32585.htm" \t "_blank" </w:instrText>
            </w:r>
            <w:r>
              <w:fldChar w:fldCharType="separate"/>
            </w:r>
            <w:r>
              <w:rPr>
                <w:rStyle w:val="7"/>
                <w:rFonts w:hint="eastAsia" w:cs="Tahoma"/>
                <w:color w:val="000000"/>
                <w:u w:val="none"/>
              </w:rPr>
              <w:t>太姥山</w:t>
            </w:r>
            <w:r>
              <w:rPr>
                <w:rStyle w:val="7"/>
                <w:rFonts w:hint="eastAsia" w:cs="Tahoma"/>
                <w:color w:val="000000"/>
                <w:u w:val="none"/>
              </w:rPr>
              <w:fldChar w:fldCharType="end"/>
            </w:r>
            <w:r>
              <w:rPr>
                <w:rFonts w:hint="eastAsia" w:cs="Tahoma"/>
                <w:color w:val="000000"/>
              </w:rPr>
              <w:t>之石，</w:t>
            </w:r>
            <w:r>
              <w:fldChar w:fldCharType="begin"/>
            </w:r>
            <w:r>
              <w:instrText xml:space="preserve"> HYPERLINK "http://baike.baidu.com/view/15872.htm" \t "_blank" </w:instrText>
            </w:r>
            <w:r>
              <w:fldChar w:fldCharType="separate"/>
            </w:r>
            <w:r>
              <w:rPr>
                <w:rStyle w:val="7"/>
                <w:rFonts w:hint="eastAsia" w:cs="Tahoma"/>
                <w:color w:val="000000"/>
                <w:u w:val="none"/>
              </w:rPr>
              <w:t>火山岛</w:t>
            </w:r>
            <w:r>
              <w:rPr>
                <w:rStyle w:val="7"/>
                <w:rFonts w:hint="eastAsia" w:cs="Tahoma"/>
                <w:color w:val="000000"/>
                <w:u w:val="none"/>
              </w:rPr>
              <w:fldChar w:fldCharType="end"/>
            </w:r>
            <w:r>
              <w:rPr>
                <w:rFonts w:hint="eastAsia" w:cs="Tahoma"/>
                <w:color w:val="000000"/>
              </w:rPr>
              <w:t>之礁，</w:t>
            </w:r>
            <w:r>
              <w:rPr>
                <w:rFonts w:hint="eastAsia" w:cs="Tahoma"/>
              </w:rPr>
              <w:t>自然人文为一体。至今已有八百多年历史。这里现在有很多家庭旅馆、青年客栈、富有情调的咖啡厅、餐吧、个性小店在此云集，曾厝垵多元的风俗信仰，也是一大特色，这里不仅道教、佛教、基督教、伊斯兰教四种宗教齐全，更有厦门独有的、香火旺盛的民间圣妈崇拜，实在可算得上是极具代表性的闽南原生态自然村。其中沿途车上可欣赏到椰风寨、天来泉</w:t>
            </w:r>
            <w:r>
              <w:rPr>
                <w:rFonts w:cs="Tahoma"/>
              </w:rPr>
              <w:t>“</w:t>
            </w:r>
            <w:r>
              <w:rPr>
                <w:rFonts w:hint="eastAsia" w:cs="Tahoma"/>
              </w:rPr>
              <w:t>赖昌星白楼</w:t>
            </w:r>
            <w:r>
              <w:rPr>
                <w:rFonts w:cs="Tahoma"/>
              </w:rPr>
              <w:t>”</w:t>
            </w:r>
            <w:r>
              <w:rPr>
                <w:rFonts w:hint="eastAsia" w:cs="Tahoma"/>
              </w:rPr>
              <w:t>以及造型独特的国际会展中心外景。</w:t>
            </w:r>
          </w:p>
          <w:p>
            <w:pPr>
              <w:pStyle w:val="3"/>
              <w:widowControl/>
              <w:spacing w:beforeAutospacing="0" w:afterAutospacing="0" w:line="360" w:lineRule="exact"/>
              <w:rPr>
                <w:rFonts w:ascii="宋体" w:cs="宋体"/>
                <w:b/>
                <w:sz w:val="22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游览</w:t>
            </w:r>
            <w:r>
              <w:rPr>
                <w:rFonts w:hint="eastAsia" w:ascii="宋体" w:hAnsi="宋体" w:cs="微软雅黑"/>
                <w:b/>
                <w:bCs/>
                <w:color w:val="000000"/>
                <w:sz w:val="21"/>
                <w:szCs w:val="21"/>
              </w:rPr>
              <w:t>【七彩环岛路】</w:t>
            </w:r>
            <w:r>
              <w:rPr>
                <w:rFonts w:hint="eastAsia"/>
                <w:color w:val="000000"/>
                <w:sz w:val="21"/>
                <w:szCs w:val="21"/>
              </w:rPr>
              <w:t>（游览时间不少于</w:t>
            </w:r>
            <w:r>
              <w:rPr>
                <w:color w:val="000000"/>
                <w:sz w:val="21"/>
                <w:szCs w:val="21"/>
              </w:rPr>
              <w:t>20</w:t>
            </w:r>
            <w:r>
              <w:rPr>
                <w:rFonts w:hint="eastAsia"/>
                <w:color w:val="000000"/>
                <w:sz w:val="21"/>
                <w:szCs w:val="21"/>
              </w:rPr>
              <w:t>分钟）：为国内第一条海滨环岛彩色公路，绿色的大山，青色的植被，黑色的主干道，红色的人行道，黄色的沙滩，蓝色的海洋，像惠安女那条彩色腰带系在厦门这个美女的少女身上，婀娜多姿，美不胜收。</w:t>
            </w:r>
            <w:r>
              <w:rPr>
                <w:rFonts w:hint="eastAsia"/>
                <w:b/>
                <w:bCs/>
                <w:color w:val="FF0000"/>
                <w:sz w:val="21"/>
                <w:szCs w:val="21"/>
              </w:rPr>
              <w:t>中途停留“一国两制，统一中国”远眺金门列岛。</w:t>
            </w:r>
          </w:p>
        </w:tc>
        <w:tc>
          <w:tcPr>
            <w:tcW w:w="1040" w:type="dxa"/>
            <w:vAlign w:val="center"/>
          </w:tcPr>
          <w:p>
            <w:pPr>
              <w:tabs>
                <w:tab w:val="left" w:pos="6066"/>
              </w:tabs>
              <w:spacing w:line="360" w:lineRule="exact"/>
              <w:rPr>
                <w:rFonts w:ascii="宋体" w:cs="宋体"/>
                <w:b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sz w:val="22"/>
              </w:rPr>
              <w:t>早</w:t>
            </w:r>
            <w:r>
              <w:rPr>
                <w:rFonts w:ascii="宋体" w:hAnsi="宋体" w:cs="宋体"/>
                <w:b/>
                <w:bCs/>
                <w:sz w:val="22"/>
              </w:rPr>
              <w:t>//</w:t>
            </w:r>
          </w:p>
        </w:tc>
        <w:tc>
          <w:tcPr>
            <w:tcW w:w="955" w:type="dxa"/>
            <w:vAlign w:val="center"/>
          </w:tcPr>
          <w:p>
            <w:pPr>
              <w:tabs>
                <w:tab w:val="left" w:pos="6066"/>
              </w:tabs>
              <w:spacing w:line="360" w:lineRule="exact"/>
              <w:rPr>
                <w:rFonts w:ascii="宋体" w:cs="宋体"/>
                <w:b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sz w:val="22"/>
              </w:rPr>
              <w:t>厦门</w:t>
            </w:r>
          </w:p>
        </w:tc>
      </w:tr>
      <w:tr>
        <w:tblPrEx>
          <w:tblBorders>
            <w:top w:val="single" w:color="0070C0" w:sz="12" w:space="0"/>
            <w:left w:val="single" w:color="0070C0" w:sz="12" w:space="0"/>
            <w:bottom w:val="single" w:color="0070C0" w:sz="12" w:space="0"/>
            <w:right w:val="single" w:color="0070C0" w:sz="12" w:space="0"/>
            <w:insideH w:val="single" w:color="0070C0" w:sz="12" w:space="0"/>
            <w:insideV w:val="single" w:color="0070C0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5" w:hRule="atLeast"/>
          <w:tblCellSpacing w:w="20" w:type="dxa"/>
        </w:trPr>
        <w:tc>
          <w:tcPr>
            <w:tcW w:w="895" w:type="dxa"/>
            <w:vAlign w:val="center"/>
          </w:tcPr>
          <w:p>
            <w:pPr>
              <w:spacing w:line="360" w:lineRule="exact"/>
              <w:rPr>
                <w:rFonts w:ascii="宋体" w:hAnsi="宋体" w:cs="宋体"/>
                <w:b/>
                <w:sz w:val="22"/>
              </w:rPr>
            </w:pPr>
            <w:r>
              <w:rPr>
                <w:rFonts w:ascii="宋体" w:hAnsi="宋体" w:cs="宋体"/>
                <w:b/>
                <w:sz w:val="22"/>
              </w:rPr>
              <w:t>D4</w:t>
            </w:r>
          </w:p>
        </w:tc>
        <w:tc>
          <w:tcPr>
            <w:tcW w:w="7590" w:type="dxa"/>
            <w:vAlign w:val="center"/>
          </w:tcPr>
          <w:p>
            <w:pPr>
              <w:pStyle w:val="3"/>
              <w:widowControl/>
              <w:spacing w:beforeAutospacing="0" w:afterAutospacing="0" w:line="360" w:lineRule="exact"/>
              <w:rPr>
                <w:rFonts w:ascii="宋体" w:cs="宋体"/>
                <w:sz w:val="22"/>
              </w:rPr>
            </w:pPr>
            <w:r>
              <w:rPr>
                <w:rStyle w:val="6"/>
                <w:rFonts w:hint="eastAsia" w:ascii="宋体" w:hAnsi="宋体" w:cs="宋体"/>
                <w:sz w:val="22"/>
                <w:lang w:eastAsia="zh-CN"/>
              </w:rPr>
              <w:t>南靖</w:t>
            </w:r>
            <w:r>
              <w:rPr>
                <w:rStyle w:val="6"/>
                <w:rFonts w:hint="eastAsia" w:ascii="宋体" w:hAnsi="宋体" w:cs="宋体"/>
                <w:sz w:val="22"/>
              </w:rPr>
              <w:t>云水谣</w:t>
            </w:r>
            <w:r>
              <w:rPr>
                <w:rStyle w:val="6"/>
                <w:rFonts w:ascii="宋体" w:hAnsi="宋体" w:cs="宋体"/>
                <w:sz w:val="22"/>
              </w:rPr>
              <w:t>-</w:t>
            </w:r>
            <w:r>
              <w:rPr>
                <w:rStyle w:val="6"/>
                <w:rFonts w:hint="eastAsia" w:ascii="宋体" w:hAnsi="宋体" w:cs="宋体"/>
                <w:sz w:val="22"/>
              </w:rPr>
              <w:t>汕头</w:t>
            </w:r>
          </w:p>
          <w:p>
            <w:pPr>
              <w:pStyle w:val="3"/>
              <w:widowControl/>
              <w:spacing w:beforeAutospacing="0" w:afterAutospacing="0" w:line="360" w:lineRule="exac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2328545</wp:posOffset>
                  </wp:positionH>
                  <wp:positionV relativeFrom="paragraph">
                    <wp:posOffset>81280</wp:posOffset>
                  </wp:positionV>
                  <wp:extent cx="2298700" cy="1532890"/>
                  <wp:effectExtent l="0" t="0" r="6350" b="10160"/>
                  <wp:wrapTight wrapText="bothSides">
                    <wp:wrapPolygon>
                      <wp:start x="0" y="0"/>
                      <wp:lineTo x="0" y="21206"/>
                      <wp:lineTo x="21481" y="21206"/>
                      <wp:lineTo x="21481" y="0"/>
                      <wp:lineTo x="0" y="0"/>
                    </wp:wrapPolygon>
                  </wp:wrapTight>
                  <wp:docPr id="6" name="图片 7" descr="af1ea76cef86cdd22e8a792122f3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7" descr="af1ea76cef86cdd22e8a792122f345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153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今天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您可以6点自由起床看日出，呼吸大自然早上的新鲜空气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哦。</w:t>
            </w:r>
          </w:p>
          <w:p>
            <w:pPr>
              <w:pStyle w:val="3"/>
              <w:widowControl/>
              <w:spacing w:beforeAutospacing="0" w:afterAutospacing="0" w:line="36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早餐乘车前往世界非物质文化遗产地，写真基地南靖云水谣土楼（车程约1小时），抵达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【南靖云水谣土楼】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后游览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【和贵楼】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，和贵楼是花了几千根松木做基建造在沼泽地上的，这座楼虽然建在烂泥地上，但它固若金汤，风雨不动，经历过数次地震仍然不倒，院子中的空地，踩上去软绵绵的，竹竿插进泥土会出水。省内最高最大最为集中的千年古榕树群、溪岸边13棵百年千年老榕，榕树下一条被踩磨得非常光滑的鹅卵石古道伸向远方。</w:t>
            </w:r>
          </w:p>
          <w:p>
            <w:pPr>
              <w:pStyle w:val="3"/>
              <w:widowControl/>
              <w:spacing w:beforeAutospacing="0" w:afterAutospacing="0" w:line="360" w:lineRule="exact"/>
              <w:rPr>
                <w:rFonts w:hint="eastAsia" w:ascii="宋体" w:hAnsi="宋体" w:eastAsia="宋体" w:cs="宋体"/>
                <w:color w:val="3E3E3E"/>
                <w:spacing w:val="7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【怀远楼】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，是双环圆形土楼，怀远楼最引人注目之处，在于内院核心位置的祖堂也就是简氏家族子弟读书的地方“斯是室”。踏着石砌古道，望着碧溪倒影，潺潺的流水声，轻轻的鸟鸣声，阵阵吹在林间的风声，配以水中鹅鸭的漫游嬉戏，溪边古老水车的咿呀转动，再和着踏步古道如按动音键般流淌的韵律，奏响出一曲醉人的“云水谣”。坐在小溪边回忆我们的童年往事，或者在小巷里找一个小酒吧小酢几杯，也在大榕树下泡上一壶功夫茶，我们一起享受宁静的古朴的乡村；</w:t>
            </w:r>
          </w:p>
          <w:p>
            <w:pPr>
              <w:pStyle w:val="3"/>
              <w:widowControl/>
              <w:spacing w:beforeAutospacing="0" w:afterAutospacing="0" w:line="36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中餐：土楼农家饭菜</w:t>
            </w:r>
          </w:p>
          <w:p>
            <w:pPr>
              <w:pStyle w:val="3"/>
              <w:widowControl/>
              <w:spacing w:beforeAutospacing="0" w:afterAutospacing="0" w:line="360" w:lineRule="exact"/>
              <w:rPr>
                <w:rFonts w:ascii="宋体" w:cs="宋体"/>
                <w:color w:val="3E3E3E"/>
                <w:spacing w:val="7"/>
                <w:sz w:val="22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FF"/>
                <w:sz w:val="22"/>
              </w:rPr>
              <w:t>下午前往经济特区</w:t>
            </w:r>
            <w:r>
              <w:rPr>
                <w:rFonts w:ascii="宋体" w:hAnsi="宋体" w:cs="宋体"/>
                <w:color w:val="0000FF"/>
                <w:sz w:val="22"/>
              </w:rPr>
              <w:t>--</w:t>
            </w:r>
            <w:r>
              <w:rPr>
                <w:rFonts w:hint="eastAsia" w:ascii="宋体" w:hAnsi="宋体" w:cs="宋体"/>
                <w:color w:val="0000FF"/>
                <w:sz w:val="22"/>
              </w:rPr>
              <w:t>汕头（车程约</w:t>
            </w:r>
            <w:r>
              <w:rPr>
                <w:rFonts w:ascii="宋体" w:hAnsi="宋体" w:cs="宋体"/>
                <w:color w:val="0000FF"/>
                <w:sz w:val="22"/>
              </w:rPr>
              <w:t>4</w:t>
            </w:r>
            <w:r>
              <w:rPr>
                <w:rFonts w:hint="eastAsia" w:ascii="宋体" w:hAnsi="宋体" w:cs="宋体"/>
                <w:color w:val="0000FF"/>
                <w:sz w:val="22"/>
              </w:rPr>
              <w:t>小时），晚餐后入住酒店。</w:t>
            </w:r>
          </w:p>
        </w:tc>
        <w:tc>
          <w:tcPr>
            <w:tcW w:w="1040" w:type="dxa"/>
            <w:vAlign w:val="center"/>
          </w:tcPr>
          <w:p>
            <w:pPr>
              <w:tabs>
                <w:tab w:val="left" w:pos="6066"/>
              </w:tabs>
              <w:spacing w:line="360" w:lineRule="exact"/>
              <w:rPr>
                <w:rFonts w:ascii="宋体" w:cs="宋体"/>
                <w:b/>
                <w:bCs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sz w:val="22"/>
              </w:rPr>
              <w:t>早午晚</w:t>
            </w:r>
          </w:p>
        </w:tc>
        <w:tc>
          <w:tcPr>
            <w:tcW w:w="955" w:type="dxa"/>
            <w:vAlign w:val="center"/>
          </w:tcPr>
          <w:p>
            <w:pPr>
              <w:tabs>
                <w:tab w:val="left" w:pos="6066"/>
              </w:tabs>
              <w:spacing w:line="360" w:lineRule="exact"/>
              <w:rPr>
                <w:rFonts w:ascii="宋体" w:cs="宋体"/>
                <w:b/>
                <w:bCs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sz w:val="22"/>
              </w:rPr>
              <w:t>汕头</w:t>
            </w:r>
          </w:p>
          <w:p>
            <w:pPr>
              <w:tabs>
                <w:tab w:val="left" w:pos="6066"/>
              </w:tabs>
              <w:spacing w:line="360" w:lineRule="exact"/>
              <w:rPr>
                <w:rFonts w:ascii="宋体" w:cs="宋体"/>
                <w:b/>
                <w:bCs/>
                <w:sz w:val="22"/>
              </w:rPr>
            </w:pPr>
          </w:p>
        </w:tc>
      </w:tr>
      <w:tr>
        <w:tblPrEx>
          <w:tblBorders>
            <w:top w:val="single" w:color="0070C0" w:sz="12" w:space="0"/>
            <w:left w:val="single" w:color="0070C0" w:sz="12" w:space="0"/>
            <w:bottom w:val="single" w:color="0070C0" w:sz="12" w:space="0"/>
            <w:right w:val="single" w:color="0070C0" w:sz="12" w:space="0"/>
            <w:insideH w:val="single" w:color="0070C0" w:sz="12" w:space="0"/>
            <w:insideV w:val="single" w:color="0070C0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8" w:hRule="atLeast"/>
          <w:tblCellSpacing w:w="20" w:type="dxa"/>
        </w:trPr>
        <w:tc>
          <w:tcPr>
            <w:tcW w:w="895" w:type="dxa"/>
            <w:vAlign w:val="center"/>
          </w:tcPr>
          <w:p>
            <w:pPr>
              <w:spacing w:line="360" w:lineRule="exact"/>
              <w:rPr>
                <w:rFonts w:ascii="宋体" w:hAnsi="宋体" w:cs="宋体"/>
                <w:b/>
                <w:sz w:val="22"/>
              </w:rPr>
            </w:pPr>
            <w:r>
              <w:rPr>
                <w:rFonts w:ascii="宋体" w:hAnsi="宋体" w:cs="宋体"/>
                <w:b/>
                <w:sz w:val="22"/>
              </w:rPr>
              <w:t>D5</w:t>
            </w:r>
          </w:p>
        </w:tc>
        <w:tc>
          <w:tcPr>
            <w:tcW w:w="7590" w:type="dxa"/>
            <w:vAlign w:val="center"/>
          </w:tcPr>
          <w:p>
            <w:pPr>
              <w:pStyle w:val="3"/>
              <w:widowControl/>
              <w:spacing w:beforeAutospacing="0" w:afterAutospacing="0" w:line="360" w:lineRule="exact"/>
              <w:rPr>
                <w:rFonts w:ascii="宋体" w:cs="宋体"/>
                <w:sz w:val="22"/>
              </w:rPr>
            </w:pPr>
            <w:r>
              <w:rPr>
                <w:rStyle w:val="6"/>
                <w:rFonts w:hint="eastAsia" w:ascii="宋体" w:hAnsi="宋体" w:cs="宋体"/>
                <w:sz w:val="22"/>
              </w:rPr>
              <w:t>汕头</w:t>
            </w:r>
            <w:r>
              <w:rPr>
                <w:rStyle w:val="6"/>
                <w:rFonts w:ascii="宋体" w:hAnsi="宋体" w:cs="宋体"/>
                <w:sz w:val="22"/>
              </w:rPr>
              <w:t>-</w:t>
            </w:r>
            <w:r>
              <w:rPr>
                <w:rStyle w:val="6"/>
                <w:rFonts w:hint="eastAsia" w:ascii="宋体" w:hAnsi="宋体" w:cs="宋体"/>
                <w:sz w:val="22"/>
              </w:rPr>
              <w:t>南澳岛</w:t>
            </w:r>
          </w:p>
          <w:p>
            <w:pPr>
              <w:pStyle w:val="3"/>
              <w:widowControl/>
              <w:spacing w:beforeAutospacing="0" w:afterAutospacing="0" w:line="360" w:lineRule="exact"/>
              <w:rPr>
                <w:rFonts w:ascii="宋体" w:cs="宋体"/>
                <w:b/>
                <w:sz w:val="22"/>
              </w:rPr>
            </w:pPr>
            <w:r>
              <w:rPr>
                <w:sz w:val="21"/>
                <w:szCs w:val="21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69850</wp:posOffset>
                  </wp:positionV>
                  <wp:extent cx="2220595" cy="1536700"/>
                  <wp:effectExtent l="0" t="0" r="46355" b="44450"/>
                  <wp:wrapTight wrapText="bothSides">
                    <wp:wrapPolygon>
                      <wp:start x="0" y="0"/>
                      <wp:lineTo x="0" y="21421"/>
                      <wp:lineTo x="21495" y="21421"/>
                      <wp:lineTo x="21495" y="0"/>
                      <wp:lineTo x="0" y="0"/>
                    </wp:wrapPolygon>
                  </wp:wrapTight>
                  <wp:docPr id="7" name="图片 8" descr="8782492e101f90ebfef6d246a0e4b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8" descr="8782492e101f90ebfef6d246a0e4b3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595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早餐后乘车前往素有“闽南咽喉，潮汕屏障”粤东海上明珠之称的</w:t>
            </w:r>
            <w:r>
              <w:rPr>
                <w:rFonts w:hint="eastAsia" w:ascii="宋体" w:hAnsi="宋体" w:cs="宋体"/>
                <w:b/>
                <w:bCs w:val="0"/>
                <w:sz w:val="21"/>
                <w:szCs w:val="21"/>
              </w:rPr>
              <w:t>【南澳岛】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，感受南澳生态环境。南澳岛是广东省唯一的海岛县，也是汕头市唯一下辖县，早在明朝就已有“海上互市”的称号。游览：海之梦，面积</w:t>
            </w:r>
            <w:r>
              <w:rPr>
                <w:rFonts w:ascii="宋体" w:hAnsi="宋体" w:cs="宋体"/>
                <w:bCs/>
                <w:sz w:val="21"/>
                <w:szCs w:val="21"/>
              </w:rPr>
              <w:t>11817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平方米，岸线礁石群壮美，加上小山丘作为制高点，纵览青澳湾全景，成为青澳湾的门户景观平台，堪称“维多利亚港”之美。继而游</w:t>
            </w:r>
            <w:r>
              <w:rPr>
                <w:rFonts w:hint="eastAsia" w:ascii="宋体" w:hAnsi="宋体" w:cs="宋体"/>
                <w:b/>
                <w:bCs w:val="0"/>
                <w:sz w:val="21"/>
                <w:szCs w:val="21"/>
              </w:rPr>
              <w:t>【北回归线标志塔】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，北回归线标志塔总设计师郑少文没计融合了天文现象和常识。叫做自然之门。继而游览素有“东方夏威夷”之美称、广东省仅有的两个</w:t>
            </w:r>
            <w:r>
              <w:rPr>
                <w:rFonts w:ascii="宋体" w:hAnsi="宋体" w:cs="宋体"/>
                <w:bCs/>
                <w:sz w:val="21"/>
                <w:szCs w:val="21"/>
              </w:rPr>
              <w:t>A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级海滨浴场之一的</w:t>
            </w:r>
            <w:r>
              <w:rPr>
                <w:rFonts w:hint="eastAsia" w:ascii="宋体" w:hAnsi="宋体" w:cs="宋体"/>
                <w:b/>
                <w:bCs w:val="0"/>
                <w:sz w:val="21"/>
                <w:szCs w:val="21"/>
              </w:rPr>
              <w:t>【青澳湾（游览约</w:t>
            </w:r>
            <w:r>
              <w:rPr>
                <w:rFonts w:ascii="宋体" w:hAnsi="宋体" w:cs="宋体"/>
                <w:b/>
                <w:bCs w:val="0"/>
                <w:sz w:val="21"/>
                <w:szCs w:val="21"/>
              </w:rPr>
              <w:t>45</w:t>
            </w:r>
            <w:r>
              <w:rPr>
                <w:rFonts w:hint="eastAsia" w:ascii="宋体" w:hAnsi="宋体" w:cs="宋体"/>
                <w:b/>
                <w:bCs w:val="0"/>
                <w:sz w:val="21"/>
                <w:szCs w:val="21"/>
              </w:rPr>
              <w:t>分钟）】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，它沙滩平宽，沙细白，水清碧，无淤泥，无污染，无骇浪，可尽情享受沙滩、海浪，自由漫步于海边呼吸负离子含量高的清新空气</w:t>
            </w:r>
            <w:r>
              <w:rPr>
                <w:rFonts w:ascii="宋体" w:hAnsi="宋体" w:cs="宋体"/>
                <w:bCs/>
                <w:sz w:val="21"/>
                <w:szCs w:val="21"/>
              </w:rPr>
              <w:t>.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于青澳湾上观看排着壮观的队伍欢迎我们、被誉为世界海岛最大风电场的的风车群；后参观明清时闽粤海防重地</w:t>
            </w:r>
            <w:r>
              <w:rPr>
                <w:rFonts w:hint="eastAsia" w:ascii="宋体" w:hAnsi="宋体" w:cs="宋体"/>
                <w:b/>
                <w:bCs w:val="0"/>
                <w:sz w:val="21"/>
                <w:szCs w:val="21"/>
              </w:rPr>
              <w:t>【总兵府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】</w:t>
            </w:r>
            <w:r>
              <w:rPr>
                <w:rFonts w:ascii="宋体" w:hAnsi="宋体" w:cs="宋体"/>
                <w:bCs/>
                <w:sz w:val="21"/>
                <w:szCs w:val="21"/>
              </w:rPr>
              <w:t>(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游览约</w:t>
            </w:r>
            <w:r>
              <w:rPr>
                <w:rFonts w:ascii="宋体" w:hAnsi="宋体" w:cs="宋体"/>
                <w:bCs/>
                <w:sz w:val="21"/>
                <w:szCs w:val="21"/>
              </w:rPr>
              <w:t>30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分钟</w:t>
            </w:r>
            <w:r>
              <w:rPr>
                <w:rFonts w:ascii="宋体" w:hAnsi="宋体" w:cs="宋体"/>
                <w:bCs/>
                <w:sz w:val="21"/>
                <w:szCs w:val="21"/>
              </w:rPr>
              <w:t>)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；相传当年郑成功在此招兵羼马收得台湾的</w:t>
            </w:r>
            <w:r>
              <w:rPr>
                <w:rFonts w:hint="eastAsia" w:ascii="宋体" w:hAnsi="宋体" w:cs="宋体"/>
                <w:b/>
                <w:bCs w:val="0"/>
                <w:sz w:val="21"/>
                <w:szCs w:val="21"/>
              </w:rPr>
              <w:t>【招兵树】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。后返回汕头市区，晚餐后入住酒店。</w:t>
            </w:r>
          </w:p>
        </w:tc>
        <w:tc>
          <w:tcPr>
            <w:tcW w:w="1040" w:type="dxa"/>
            <w:vAlign w:val="center"/>
          </w:tcPr>
          <w:p>
            <w:pPr>
              <w:tabs>
                <w:tab w:val="left" w:pos="6066"/>
              </w:tabs>
              <w:spacing w:line="360" w:lineRule="exact"/>
              <w:rPr>
                <w:rFonts w:ascii="宋体" w:cs="宋体"/>
                <w:b/>
                <w:bCs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sz w:val="22"/>
              </w:rPr>
              <w:t>早午晚</w:t>
            </w:r>
          </w:p>
        </w:tc>
        <w:tc>
          <w:tcPr>
            <w:tcW w:w="955" w:type="dxa"/>
            <w:vAlign w:val="center"/>
          </w:tcPr>
          <w:p>
            <w:pPr>
              <w:tabs>
                <w:tab w:val="left" w:pos="6066"/>
              </w:tabs>
              <w:spacing w:line="360" w:lineRule="exact"/>
              <w:rPr>
                <w:rFonts w:ascii="宋体" w:cs="宋体"/>
                <w:b/>
                <w:bCs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sz w:val="22"/>
              </w:rPr>
              <w:t>汕头</w:t>
            </w:r>
          </w:p>
        </w:tc>
      </w:tr>
      <w:tr>
        <w:tblPrEx>
          <w:tblBorders>
            <w:top w:val="single" w:color="0070C0" w:sz="12" w:space="0"/>
            <w:left w:val="single" w:color="0070C0" w:sz="12" w:space="0"/>
            <w:bottom w:val="single" w:color="0070C0" w:sz="12" w:space="0"/>
            <w:right w:val="single" w:color="0070C0" w:sz="12" w:space="0"/>
            <w:insideH w:val="single" w:color="0070C0" w:sz="12" w:space="0"/>
            <w:insideV w:val="single" w:color="0070C0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tblCellSpacing w:w="20" w:type="dxa"/>
        </w:trPr>
        <w:tc>
          <w:tcPr>
            <w:tcW w:w="895" w:type="dxa"/>
            <w:vAlign w:val="center"/>
          </w:tcPr>
          <w:p>
            <w:pPr>
              <w:tabs>
                <w:tab w:val="left" w:pos="6066"/>
              </w:tabs>
              <w:spacing w:line="360" w:lineRule="exact"/>
              <w:rPr>
                <w:rFonts w:ascii="宋体" w:hAnsi="宋体" w:cs="宋体"/>
                <w:b/>
                <w:sz w:val="22"/>
              </w:rPr>
            </w:pPr>
            <w:r>
              <w:rPr>
                <w:rFonts w:ascii="宋体" w:hAnsi="宋体" w:cs="宋体"/>
                <w:b/>
                <w:sz w:val="22"/>
              </w:rPr>
              <w:t>D6</w:t>
            </w:r>
          </w:p>
        </w:tc>
        <w:tc>
          <w:tcPr>
            <w:tcW w:w="7590" w:type="dxa"/>
            <w:vAlign w:val="center"/>
          </w:tcPr>
          <w:p>
            <w:pPr>
              <w:pStyle w:val="3"/>
              <w:widowControl/>
              <w:spacing w:beforeAutospacing="0" w:afterAutospacing="0" w:line="360" w:lineRule="exact"/>
              <w:rPr>
                <w:rStyle w:val="6"/>
                <w:rFonts w:ascii="宋体" w:cs="宋体"/>
                <w:sz w:val="22"/>
              </w:rPr>
            </w:pPr>
            <w:r>
              <w:rPr>
                <w:rStyle w:val="6"/>
                <w:rFonts w:ascii="宋体" w:hAnsi="宋体" w:cs="宋体"/>
                <w:sz w:val="22"/>
              </w:rPr>
              <w:t xml:space="preserve"> </w:t>
            </w:r>
            <w:r>
              <w:rPr>
                <w:rStyle w:val="6"/>
                <w:rFonts w:hint="eastAsia" w:ascii="宋体" w:hAnsi="宋体" w:cs="宋体"/>
                <w:sz w:val="22"/>
              </w:rPr>
              <w:t>潮州</w:t>
            </w:r>
            <w:r>
              <w:rPr>
                <w:rStyle w:val="6"/>
                <w:rFonts w:ascii="宋体" w:hAnsi="宋体" w:cs="宋体"/>
                <w:sz w:val="22"/>
              </w:rPr>
              <w:t>-</w:t>
            </w:r>
            <w:r>
              <w:rPr>
                <w:rStyle w:val="6"/>
                <w:rFonts w:hint="eastAsia" w:ascii="宋体" w:hAnsi="宋体" w:cs="宋体"/>
                <w:sz w:val="22"/>
              </w:rPr>
              <w:t>揭阳</w:t>
            </w:r>
            <w:r>
              <w:rPr>
                <w:rStyle w:val="6"/>
                <w:rFonts w:ascii="宋体" w:hAnsi="宋体" w:cs="宋体"/>
                <w:sz w:val="22"/>
              </w:rPr>
              <w:t>-</w:t>
            </w:r>
            <w:r>
              <w:rPr>
                <w:rStyle w:val="6"/>
                <w:rFonts w:hint="eastAsia" w:ascii="宋体" w:hAnsi="宋体" w:cs="宋体"/>
                <w:sz w:val="22"/>
              </w:rPr>
              <w:t>昆明</w:t>
            </w:r>
          </w:p>
          <w:p>
            <w:pPr>
              <w:pStyle w:val="3"/>
              <w:widowControl/>
              <w:spacing w:beforeAutospacing="0" w:afterAutospacing="0" w:line="360" w:lineRule="exact"/>
              <w:rPr>
                <w:rFonts w:ascii="宋体" w:cs="宋体"/>
                <w:sz w:val="22"/>
              </w:rPr>
            </w:pPr>
            <w:r>
              <w:rPr>
                <w:rStyle w:val="6"/>
                <w:rFonts w:hint="eastAsia" w:ascii="宋体" w:hAnsi="宋体" w:cs="宋体"/>
                <w:sz w:val="22"/>
              </w:rPr>
              <w:t>参考航班：揭阳</w:t>
            </w:r>
            <w:r>
              <w:rPr>
                <w:rStyle w:val="6"/>
                <w:rFonts w:ascii="宋体" w:hAnsi="宋体" w:cs="宋体"/>
                <w:sz w:val="22"/>
              </w:rPr>
              <w:t>-</w:t>
            </w:r>
            <w:r>
              <w:rPr>
                <w:rStyle w:val="6"/>
                <w:rFonts w:hint="eastAsia" w:ascii="宋体" w:hAnsi="宋体" w:cs="宋体"/>
                <w:sz w:val="22"/>
              </w:rPr>
              <w:t>昆明</w:t>
            </w:r>
            <w:r>
              <w:rPr>
                <w:rStyle w:val="6"/>
                <w:rFonts w:ascii="宋体" w:hAnsi="宋体" w:cs="宋体"/>
                <w:sz w:val="22"/>
              </w:rPr>
              <w:t xml:space="preserve">MU5836 20:50-23:30 </w:t>
            </w:r>
          </w:p>
          <w:p>
            <w:pPr>
              <w:spacing w:line="360" w:lineRule="exact"/>
              <w:ind w:right="-6"/>
              <w:rPr>
                <w:rFonts w:ascii="宋体" w:cs="宋体"/>
                <w:bCs/>
                <w:sz w:val="22"/>
              </w:rPr>
            </w:pPr>
            <w: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2249805</wp:posOffset>
                  </wp:positionH>
                  <wp:positionV relativeFrom="paragraph">
                    <wp:posOffset>245745</wp:posOffset>
                  </wp:positionV>
                  <wp:extent cx="2329180" cy="1553210"/>
                  <wp:effectExtent l="0" t="0" r="13970" b="8890"/>
                  <wp:wrapTight wrapText="bothSides">
                    <wp:wrapPolygon>
                      <wp:start x="0" y="0"/>
                      <wp:lineTo x="0" y="21459"/>
                      <wp:lineTo x="21376" y="21459"/>
                      <wp:lineTo x="21376" y="0"/>
                      <wp:lineTo x="0" y="0"/>
                    </wp:wrapPolygon>
                  </wp:wrapTight>
                  <wp:docPr id="8" name="图片 8" descr="80bb5629bcdf9f659d653c9337abc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80bb5629bcdf9f659d653c9337abcc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180" cy="155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sz w:val="22"/>
              </w:rPr>
              <w:t>早餐后</w:t>
            </w:r>
            <w:r>
              <w:rPr>
                <w:rFonts w:hint="eastAsia" w:ascii="宋体" w:hAnsi="宋体" w:cs="宋体"/>
                <w:bCs/>
                <w:sz w:val="22"/>
                <w:lang w:eastAsia="zh-CN"/>
              </w:rPr>
              <w:t>，</w:t>
            </w:r>
            <w:r>
              <w:rPr>
                <w:rFonts w:hint="eastAsia" w:ascii="宋体" w:hAnsi="宋体" w:cs="宋体"/>
                <w:bCs/>
                <w:sz w:val="22"/>
              </w:rPr>
              <w:t>后乘车出发前往中国历史文化名城</w:t>
            </w:r>
            <w:r>
              <w:rPr>
                <w:rFonts w:ascii="宋体" w:hAnsi="宋体" w:cs="宋体"/>
                <w:bCs/>
                <w:sz w:val="22"/>
              </w:rPr>
              <w:t>——</w:t>
            </w:r>
            <w:r>
              <w:rPr>
                <w:rFonts w:hint="eastAsia" w:ascii="宋体" w:hAnsi="宋体" w:cs="宋体"/>
                <w:b/>
                <w:bCs w:val="0"/>
                <w:sz w:val="22"/>
              </w:rPr>
              <w:t>【潮州】</w:t>
            </w:r>
            <w:r>
              <w:rPr>
                <w:rFonts w:hint="eastAsia" w:ascii="宋体" w:hAnsi="宋体" w:cs="宋体"/>
                <w:bCs/>
                <w:sz w:val="22"/>
              </w:rPr>
              <w:t>。前往游览广东四大名寺之一的</w:t>
            </w:r>
            <w:r>
              <w:rPr>
                <w:rFonts w:hint="eastAsia" w:ascii="宋体" w:hAnsi="宋体" w:cs="宋体"/>
                <w:b/>
                <w:bCs w:val="0"/>
                <w:sz w:val="22"/>
              </w:rPr>
              <w:t>【开元寺】</w:t>
            </w:r>
            <w:r>
              <w:rPr>
                <w:rFonts w:ascii="宋体" w:hAnsi="宋体" w:cs="宋体"/>
                <w:bCs/>
                <w:sz w:val="22"/>
              </w:rPr>
              <w:t>(</w:t>
            </w:r>
            <w:r>
              <w:rPr>
                <w:rFonts w:hint="eastAsia" w:ascii="宋体" w:hAnsi="宋体" w:cs="宋体"/>
                <w:bCs/>
                <w:sz w:val="22"/>
              </w:rPr>
              <w:t>约</w:t>
            </w:r>
            <w:r>
              <w:rPr>
                <w:rFonts w:ascii="宋体" w:hAnsi="宋体" w:cs="宋体"/>
                <w:bCs/>
                <w:sz w:val="22"/>
              </w:rPr>
              <w:t>40</w:t>
            </w:r>
            <w:r>
              <w:rPr>
                <w:rFonts w:hint="eastAsia" w:ascii="宋体" w:hAnsi="宋体" w:cs="宋体"/>
                <w:bCs/>
                <w:sz w:val="22"/>
              </w:rPr>
              <w:t>分钟</w:t>
            </w:r>
            <w:r>
              <w:rPr>
                <w:rFonts w:ascii="宋体" w:hAnsi="宋体" w:cs="宋体"/>
                <w:bCs/>
                <w:sz w:val="22"/>
              </w:rPr>
              <w:t>)</w:t>
            </w:r>
            <w:r>
              <w:rPr>
                <w:rFonts w:hint="eastAsia" w:ascii="宋体" w:hAnsi="宋体" w:cs="宋体"/>
                <w:bCs/>
                <w:sz w:val="22"/>
              </w:rPr>
              <w:t>，至今仍保持着与日本东大寺相似的唐宋宫殿式建筑庄严肃穆的风格，后步行游览耗资</w:t>
            </w:r>
            <w:r>
              <w:rPr>
                <w:rFonts w:ascii="宋体" w:hAnsi="宋体" w:cs="宋体"/>
                <w:bCs/>
                <w:sz w:val="22"/>
              </w:rPr>
              <w:t>1.5</w:t>
            </w:r>
            <w:r>
              <w:rPr>
                <w:rFonts w:hint="eastAsia" w:ascii="宋体" w:hAnsi="宋体" w:cs="宋体"/>
                <w:bCs/>
                <w:sz w:val="22"/>
              </w:rPr>
              <w:t>亿元重建的</w:t>
            </w:r>
            <w:r>
              <w:rPr>
                <w:rFonts w:hint="eastAsia" w:ascii="宋体" w:hAnsi="宋体" w:cs="宋体"/>
                <w:b/>
                <w:bCs w:val="0"/>
                <w:sz w:val="22"/>
              </w:rPr>
              <w:t>【明清牌坊街】</w:t>
            </w:r>
            <w:r>
              <w:rPr>
                <w:rFonts w:hint="eastAsia" w:ascii="宋体" w:hAnsi="宋体" w:cs="宋体"/>
                <w:bCs/>
                <w:sz w:val="22"/>
              </w:rPr>
              <w:t>，体会潮州人才辈出的古城底蕴；游古城老街，自费品尝潮州特色小吃：鸭母令、蚝烙、无米果、腐乳饼等风味美食。继游修复一新的</w:t>
            </w:r>
            <w:r>
              <w:rPr>
                <w:rFonts w:hint="eastAsia" w:ascii="宋体" w:hAnsi="宋体" w:cs="宋体"/>
                <w:b/>
                <w:bCs w:val="0"/>
                <w:sz w:val="22"/>
              </w:rPr>
              <w:t>【江滨长廊】</w:t>
            </w:r>
            <w:r>
              <w:rPr>
                <w:rFonts w:ascii="宋体" w:hAnsi="宋体" w:cs="宋体"/>
                <w:bCs/>
                <w:sz w:val="22"/>
              </w:rPr>
              <w:t>(</w:t>
            </w:r>
            <w:r>
              <w:rPr>
                <w:rFonts w:hint="eastAsia" w:ascii="宋体" w:hAnsi="宋体" w:cs="宋体"/>
                <w:bCs/>
                <w:sz w:val="22"/>
              </w:rPr>
              <w:t>游览约</w:t>
            </w:r>
            <w:r>
              <w:rPr>
                <w:rFonts w:ascii="宋体" w:hAnsi="宋体" w:cs="宋体"/>
                <w:bCs/>
                <w:sz w:val="22"/>
              </w:rPr>
              <w:t>30</w:t>
            </w:r>
            <w:r>
              <w:rPr>
                <w:rFonts w:hint="eastAsia" w:ascii="宋体" w:hAnsi="宋体" w:cs="宋体"/>
                <w:bCs/>
                <w:sz w:val="22"/>
              </w:rPr>
              <w:t>分钟</w:t>
            </w:r>
            <w:r>
              <w:rPr>
                <w:rFonts w:ascii="宋体" w:hAnsi="宋体" w:cs="宋体"/>
                <w:bCs/>
                <w:sz w:val="22"/>
              </w:rPr>
              <w:t>)</w:t>
            </w:r>
            <w:r>
              <w:rPr>
                <w:rFonts w:hint="eastAsia" w:ascii="宋体" w:hAnsi="宋体" w:cs="宋体"/>
                <w:bCs/>
                <w:sz w:val="22"/>
              </w:rPr>
              <w:t>、明朝修建的</w:t>
            </w:r>
            <w:r>
              <w:rPr>
                <w:rFonts w:hint="eastAsia" w:ascii="宋体" w:hAnsi="宋体" w:cs="宋体"/>
                <w:b/>
                <w:bCs w:val="0"/>
                <w:sz w:val="22"/>
              </w:rPr>
              <w:t>【古城墙】</w:t>
            </w:r>
            <w:r>
              <w:rPr>
                <w:rFonts w:hint="eastAsia" w:ascii="宋体" w:hAnsi="宋体" w:cs="宋体"/>
                <w:bCs/>
                <w:sz w:val="22"/>
              </w:rPr>
              <w:t>、潮州府城主要门户之一的</w:t>
            </w:r>
            <w:r>
              <w:rPr>
                <w:rFonts w:hint="eastAsia" w:ascii="宋体" w:hAnsi="宋体" w:cs="宋体"/>
                <w:b/>
                <w:bCs w:val="0"/>
                <w:sz w:val="22"/>
              </w:rPr>
              <w:t>【广济门城楼】</w:t>
            </w:r>
            <w:r>
              <w:rPr>
                <w:rFonts w:hint="eastAsia" w:ascii="宋体" w:hAnsi="宋体" w:cs="宋体"/>
                <w:bCs/>
                <w:sz w:val="22"/>
              </w:rPr>
              <w:t>；远观世界上最早的启闭式桥梁”</w:t>
            </w:r>
            <w:r>
              <w:rPr>
                <w:rFonts w:ascii="宋体" w:hAnsi="宋体" w:cs="宋体"/>
                <w:bCs/>
                <w:sz w:val="22"/>
              </w:rPr>
              <w:t xml:space="preserve"> </w:t>
            </w:r>
            <w:r>
              <w:rPr>
                <w:rFonts w:hint="eastAsia" w:ascii="宋体" w:hAnsi="宋体" w:cs="宋体"/>
                <w:b/>
                <w:bCs w:val="0"/>
                <w:sz w:val="22"/>
              </w:rPr>
              <w:t>【湘子桥】</w:t>
            </w:r>
            <w:r>
              <w:rPr>
                <w:rFonts w:hint="eastAsia" w:ascii="宋体" w:hAnsi="宋体" w:cs="宋体"/>
                <w:bCs/>
                <w:sz w:val="22"/>
              </w:rPr>
              <w:t>（不上桥），其十八梭船廿四洲的胜景更是尽收眼底，观古代城墙古迹。</w:t>
            </w:r>
          </w:p>
          <w:p>
            <w:pPr>
              <w:spacing w:line="360" w:lineRule="exact"/>
              <w:ind w:right="-6"/>
              <w:rPr>
                <w:rFonts w:ascii="宋体" w:cs="宋体"/>
                <w:b/>
                <w:sz w:val="22"/>
              </w:rPr>
            </w:pPr>
            <w:r>
              <w:rPr>
                <w:rFonts w:hint="eastAsia" w:ascii="宋体" w:hAnsi="宋体" w:cs="宋体"/>
                <w:bCs/>
                <w:sz w:val="22"/>
              </w:rPr>
              <w:t>午餐后参观</w:t>
            </w:r>
            <w:r>
              <w:rPr>
                <w:rFonts w:hint="eastAsia" w:ascii="宋体" w:hAnsi="宋体" w:cs="宋体"/>
                <w:b/>
                <w:bCs w:val="0"/>
                <w:sz w:val="22"/>
              </w:rPr>
              <w:t>【韩文公祠】</w:t>
            </w:r>
            <w:r>
              <w:rPr>
                <w:rFonts w:hint="eastAsia" w:ascii="宋体" w:hAnsi="宋体" w:cs="宋体"/>
                <w:bCs/>
                <w:sz w:val="22"/>
              </w:rPr>
              <w:t>，此处为韩愈刺潮而建，根据历史记载</w:t>
            </w:r>
            <w:r>
              <w:rPr>
                <w:rFonts w:ascii="宋体" w:hAnsi="宋体" w:cs="宋体"/>
                <w:bCs/>
                <w:sz w:val="22"/>
              </w:rPr>
              <w:t>,</w:t>
            </w:r>
            <w:r>
              <w:rPr>
                <w:rFonts w:hint="eastAsia" w:ascii="宋体" w:hAnsi="宋体" w:cs="宋体"/>
                <w:bCs/>
                <w:sz w:val="22"/>
              </w:rPr>
              <w:t>韩愈被贬到潮州当刺史八个月不足</w:t>
            </w:r>
            <w:r>
              <w:rPr>
                <w:rFonts w:ascii="宋体" w:hAnsi="宋体" w:cs="宋体"/>
                <w:bCs/>
                <w:sz w:val="22"/>
              </w:rPr>
              <w:t>,</w:t>
            </w:r>
            <w:r>
              <w:rPr>
                <w:rFonts w:hint="eastAsia" w:ascii="宋体" w:hAnsi="宋体" w:cs="宋体"/>
                <w:bCs/>
                <w:sz w:val="22"/>
              </w:rPr>
              <w:t>任内的功劳就是恶溪除鳄</w:t>
            </w:r>
            <w:r>
              <w:rPr>
                <w:rFonts w:ascii="宋体" w:hAnsi="宋体" w:cs="宋体"/>
                <w:bCs/>
                <w:sz w:val="22"/>
              </w:rPr>
              <w:t>,</w:t>
            </w:r>
            <w:r>
              <w:rPr>
                <w:rFonts w:hint="eastAsia" w:ascii="宋体" w:hAnsi="宋体" w:cs="宋体"/>
                <w:bCs/>
                <w:sz w:val="22"/>
              </w:rPr>
              <w:t>释放奴婢</w:t>
            </w:r>
            <w:r>
              <w:rPr>
                <w:rFonts w:ascii="宋体" w:hAnsi="宋体" w:cs="宋体"/>
                <w:bCs/>
                <w:sz w:val="22"/>
              </w:rPr>
              <w:t>,</w:t>
            </w:r>
            <w:r>
              <w:rPr>
                <w:rFonts w:hint="eastAsia" w:ascii="宋体" w:hAnsi="宋体" w:cs="宋体"/>
                <w:bCs/>
                <w:sz w:val="22"/>
              </w:rPr>
              <w:t>兴办乡校</w:t>
            </w:r>
            <w:r>
              <w:rPr>
                <w:rFonts w:ascii="宋体" w:hAnsi="宋体" w:cs="宋体"/>
                <w:bCs/>
                <w:sz w:val="22"/>
              </w:rPr>
              <w:t>,</w:t>
            </w:r>
            <w:r>
              <w:rPr>
                <w:rFonts w:hint="eastAsia" w:ascii="宋体" w:hAnsi="宋体" w:cs="宋体"/>
                <w:bCs/>
                <w:sz w:val="22"/>
              </w:rPr>
              <w:t>为此韩愈治潮不足八个月却盛享千年香火，留下万古青名之</w:t>
            </w:r>
            <w:r>
              <w:rPr>
                <w:rFonts w:hint="eastAsia" w:ascii="宋体" w:hAnsi="宋体" w:cs="宋体"/>
                <w:bCs/>
              </w:rPr>
              <w:t>后，根据返程的航班前往机场，结束愉快之旅。</w:t>
            </w:r>
          </w:p>
        </w:tc>
        <w:tc>
          <w:tcPr>
            <w:tcW w:w="1040" w:type="dxa"/>
            <w:vAlign w:val="center"/>
          </w:tcPr>
          <w:p>
            <w:pPr>
              <w:tabs>
                <w:tab w:val="left" w:pos="6066"/>
              </w:tabs>
              <w:spacing w:line="360" w:lineRule="exact"/>
              <w:rPr>
                <w:rFonts w:ascii="宋体" w:cs="宋体"/>
                <w:b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sz w:val="22"/>
              </w:rPr>
              <w:t>早午</w:t>
            </w:r>
            <w:r>
              <w:rPr>
                <w:rFonts w:ascii="宋体" w:hAnsi="宋体" w:cs="宋体"/>
                <w:b/>
                <w:bCs/>
                <w:sz w:val="22"/>
              </w:rPr>
              <w:t>/</w:t>
            </w:r>
          </w:p>
        </w:tc>
        <w:tc>
          <w:tcPr>
            <w:tcW w:w="955" w:type="dxa"/>
            <w:vAlign w:val="center"/>
          </w:tcPr>
          <w:p>
            <w:pPr>
              <w:tabs>
                <w:tab w:val="left" w:pos="6066"/>
              </w:tabs>
              <w:spacing w:line="360" w:lineRule="exact"/>
              <w:rPr>
                <w:rFonts w:ascii="宋体" w:cs="宋体"/>
                <w:b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sz w:val="22"/>
              </w:rPr>
              <w:t>无</w:t>
            </w:r>
          </w:p>
        </w:tc>
      </w:tr>
    </w:tbl>
    <w:p>
      <w:pPr>
        <w:tabs>
          <w:tab w:val="left" w:pos="6066"/>
        </w:tabs>
        <w:spacing w:line="320" w:lineRule="exact"/>
        <w:rPr>
          <w:rFonts w:ascii="宋体" w:hAnsi="宋体" w:cs="宋体"/>
          <w:bCs/>
          <w:sz w:val="36"/>
          <w:szCs w:val="36"/>
        </w:rPr>
      </w:pPr>
      <w:r>
        <w:rPr>
          <w:rFonts w:ascii="宋体" w:hAnsi="宋体" w:cs="宋体"/>
          <w:bCs/>
          <w:sz w:val="36"/>
          <w:szCs w:val="36"/>
        </w:rPr>
        <w:t xml:space="preserve"> </w:t>
      </w:r>
    </w:p>
    <w:p>
      <w:pPr>
        <w:tabs>
          <w:tab w:val="left" w:pos="6066"/>
        </w:tabs>
        <w:spacing w:line="320" w:lineRule="exac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服务标准：</w:t>
      </w:r>
    </w:p>
    <w:p>
      <w:pPr>
        <w:tabs>
          <w:tab w:val="left" w:pos="6066"/>
        </w:tabs>
        <w:spacing w:line="320" w:lineRule="exact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1、</w:t>
      </w:r>
      <w:r>
        <w:rPr>
          <w:rFonts w:hint="eastAsia" w:ascii="宋体" w:hAnsi="宋体"/>
          <w:sz w:val="18"/>
          <w:szCs w:val="18"/>
        </w:rPr>
        <w:t>往返机票、往返机场建设费、燃油税；</w:t>
      </w:r>
    </w:p>
    <w:p>
      <w:pPr>
        <w:spacing w:line="28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2、</w:t>
      </w:r>
      <w:r>
        <w:rPr>
          <w:rFonts w:hint="eastAsia" w:ascii="宋体" w:hAnsi="宋体"/>
          <w:sz w:val="18"/>
          <w:szCs w:val="18"/>
        </w:rPr>
        <w:t>住宿：指定酒店标准间；</w:t>
      </w:r>
    </w:p>
    <w:p>
      <w:pPr>
        <w:pStyle w:val="3"/>
        <w:widowControl/>
        <w:spacing w:beforeAutospacing="0" w:afterAutospacing="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3、</w:t>
      </w:r>
      <w:r>
        <w:rPr>
          <w:rFonts w:hint="eastAsia" w:ascii="宋体" w:hAnsi="宋体"/>
          <w:sz w:val="18"/>
          <w:szCs w:val="18"/>
        </w:rPr>
        <w:t>用餐:</w:t>
      </w:r>
      <w:r>
        <w:rPr>
          <w:rFonts w:hint="eastAsia" w:ascii="宋体" w:hAnsi="宋体"/>
          <w:sz w:val="18"/>
          <w:szCs w:val="18"/>
          <w:lang w:val="en-US" w:eastAsia="zh-CN"/>
        </w:rPr>
        <w:t>5</w:t>
      </w:r>
      <w:r>
        <w:rPr>
          <w:rFonts w:hint="eastAsia" w:ascii="宋体" w:hAnsi="宋体"/>
          <w:sz w:val="18"/>
          <w:szCs w:val="18"/>
        </w:rPr>
        <w:t>早</w:t>
      </w:r>
      <w:r>
        <w:rPr>
          <w:rFonts w:hint="eastAsia" w:ascii="宋体" w:hAnsi="宋体"/>
          <w:sz w:val="18"/>
          <w:szCs w:val="18"/>
          <w:lang w:val="en-US" w:eastAsia="zh-CN"/>
        </w:rPr>
        <w:t>6</w:t>
      </w:r>
      <w:r>
        <w:rPr>
          <w:rFonts w:hint="eastAsia" w:ascii="宋体" w:hAnsi="宋体"/>
          <w:sz w:val="18"/>
          <w:szCs w:val="18"/>
        </w:rPr>
        <w:t>正</w:t>
      </w:r>
      <w:r>
        <w:rPr>
          <w:rFonts w:hint="eastAsia" w:ascii="宋体" w:hAnsi="宋体"/>
          <w:sz w:val="18"/>
          <w:szCs w:val="18"/>
          <w:lang w:eastAsia="zh-CN"/>
        </w:rPr>
        <w:t>：</w:t>
      </w:r>
      <w:r>
        <w:rPr>
          <w:rFonts w:hint="eastAsia" w:ascii="宋体" w:hAnsi="宋体"/>
          <w:sz w:val="18"/>
          <w:szCs w:val="18"/>
        </w:rPr>
        <w:t>早餐为酒店含早行程中团队标准用餐，5早餐6正餐；</w:t>
      </w:r>
    </w:p>
    <w:p>
      <w:pPr>
        <w:pStyle w:val="3"/>
        <w:widowControl/>
        <w:spacing w:beforeAutospacing="0" w:afterAutospacing="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b/>
          <w:bCs/>
          <w:sz w:val="18"/>
          <w:szCs w:val="18"/>
        </w:rPr>
        <w:t>4、</w:t>
      </w:r>
      <w:r>
        <w:rPr>
          <w:rFonts w:hint="eastAsia" w:ascii="宋体" w:hAnsi="宋体"/>
          <w:sz w:val="18"/>
          <w:szCs w:val="18"/>
        </w:rPr>
        <w:t>用车：当地正规旅游巴士，保证每人一正座；</w:t>
      </w:r>
    </w:p>
    <w:p>
      <w:pPr>
        <w:pStyle w:val="3"/>
        <w:widowControl/>
        <w:spacing w:beforeAutospacing="0" w:afterAutospacing="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b/>
          <w:bCs/>
          <w:sz w:val="18"/>
          <w:szCs w:val="18"/>
        </w:rPr>
        <w:t>5、</w:t>
      </w:r>
      <w:r>
        <w:rPr>
          <w:rFonts w:hint="eastAsia" w:ascii="宋体" w:hAnsi="宋体"/>
          <w:sz w:val="18"/>
          <w:szCs w:val="18"/>
        </w:rPr>
        <w:t>门票：门  票：行程所列景点首道门票。以上景点的游览时间仅供参考（不含索道、缆车及园中园门票；赠送景点或其他项目，客人未产生，费用不退）。因鼓浪屿船票为网络订票，需团进团出，且取消不退费，船票进出港时间以实际购到票为准。  及鼓浪屿实行人数限制，轮渡票需提前订票，订票后无法补差价补票。小孩身高如超过1.5米，需提前通知我方买全票轮渡票，如因客人信息传达错误引起无法登船等后果由客人自行负责。轮渡票临时补票无法保证与我社预订的班次一致。</w:t>
      </w:r>
    </w:p>
    <w:p>
      <w:pPr>
        <w:pStyle w:val="3"/>
        <w:widowControl/>
        <w:spacing w:beforeAutospacing="0" w:afterAutospacing="0"/>
        <w:rPr>
          <w:rFonts w:hint="eastAsia" w:ascii="宋体" w:hAnsi="宋体"/>
          <w:sz w:val="18"/>
          <w:szCs w:val="18"/>
          <w:lang w:val="en-US" w:eastAsia="zh-CN"/>
        </w:rPr>
      </w:pPr>
      <w:r>
        <w:rPr>
          <w:rFonts w:hint="eastAsia" w:ascii="宋体" w:hAnsi="宋体"/>
          <w:b/>
          <w:bCs/>
          <w:sz w:val="18"/>
          <w:szCs w:val="18"/>
          <w:lang w:val="en-US" w:eastAsia="zh-CN"/>
        </w:rPr>
        <w:t>6</w:t>
      </w:r>
      <w:r>
        <w:rPr>
          <w:rFonts w:hint="eastAsia" w:ascii="宋体" w:hAnsi="宋体"/>
          <w:sz w:val="18"/>
          <w:szCs w:val="18"/>
          <w:lang w:val="en-US" w:eastAsia="zh-CN"/>
        </w:rPr>
        <w:t>、导游：行程中所列参观游览过程中，地方专职中文导游服务及景区讲解员。</w:t>
      </w:r>
    </w:p>
    <w:p>
      <w:pPr>
        <w:pStyle w:val="3"/>
        <w:widowControl/>
        <w:spacing w:beforeAutospacing="0" w:afterAutospacing="0"/>
        <w:rPr>
          <w:rFonts w:hint="eastAsia" w:ascii="宋体" w:hAnsi="宋体"/>
          <w:sz w:val="18"/>
          <w:szCs w:val="18"/>
          <w:lang w:val="en-US" w:eastAsia="zh-CN"/>
        </w:rPr>
      </w:pPr>
      <w:r>
        <w:rPr>
          <w:rFonts w:hint="eastAsia" w:ascii="宋体" w:hAnsi="宋体"/>
          <w:sz w:val="18"/>
          <w:szCs w:val="18"/>
          <w:lang w:val="en-US" w:eastAsia="zh-CN"/>
        </w:rPr>
        <w:t>儿童费用包含：车位费、半价餐费；（2-12周岁）；不含：不含门票（以景区门市挂牌价公告的折扣为准）；不含床位；不占床不含早餐；如产生其他费用则由家长在当地现付。</w:t>
      </w:r>
    </w:p>
    <w:p>
      <w:pPr>
        <w:pStyle w:val="3"/>
        <w:widowControl/>
        <w:spacing w:beforeAutospacing="0" w:afterAutospacing="0"/>
        <w:rPr>
          <w:rFonts w:hint="eastAsia" w:ascii="宋体" w:hAnsi="宋体"/>
          <w:sz w:val="18"/>
          <w:szCs w:val="18"/>
          <w:lang w:val="en-US" w:eastAsia="zh-CN"/>
        </w:rPr>
      </w:pPr>
      <w:r>
        <w:rPr>
          <w:rFonts w:hint="eastAsia" w:ascii="宋体" w:hAnsi="宋体"/>
          <w:sz w:val="18"/>
          <w:szCs w:val="18"/>
          <w:lang w:val="en-US" w:eastAsia="zh-CN"/>
        </w:rPr>
        <w:t>建议：如已超高；建议提前买票：当地现付则会出现比团队折扣票高的情况；请您预知！</w:t>
      </w:r>
    </w:p>
    <w:p>
      <w:pPr>
        <w:pStyle w:val="3"/>
        <w:widowControl/>
        <w:spacing w:beforeAutospacing="0" w:afterAutospacing="0"/>
        <w:rPr>
          <w:rFonts w:hint="eastAsia" w:ascii="宋体" w:hAnsi="宋体"/>
          <w:sz w:val="21"/>
          <w:szCs w:val="21"/>
          <w:lang w:val="en-US" w:eastAsia="zh-CN"/>
        </w:rPr>
      </w:pPr>
    </w:p>
    <w:p>
      <w:pPr>
        <w:tabs>
          <w:tab w:val="left" w:pos="6066"/>
        </w:tabs>
        <w:spacing w:line="320" w:lineRule="exact"/>
      </w:pPr>
      <w:r>
        <w:rPr>
          <w:rFonts w:hint="eastAsia" w:ascii="宋体" w:hAnsi="宋体"/>
          <w:b/>
          <w:sz w:val="28"/>
          <w:szCs w:val="28"/>
          <w:lang w:eastAsia="zh-CN"/>
        </w:rPr>
        <w:t>费用不包含</w:t>
      </w:r>
      <w:r>
        <w:rPr>
          <w:rFonts w:hint="eastAsia" w:ascii="宋体" w:hAnsi="宋体"/>
          <w:b/>
          <w:sz w:val="28"/>
          <w:szCs w:val="28"/>
        </w:rPr>
        <w:t>：</w:t>
      </w:r>
    </w:p>
    <w:p>
      <w:pPr>
        <w:pStyle w:val="3"/>
        <w:widowControl/>
        <w:spacing w:beforeAutospacing="0" w:afterAutospacing="0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1、航空意外险（建议旅游者购买）</w:t>
      </w:r>
    </w:p>
    <w:p>
      <w:pPr>
        <w:pStyle w:val="3"/>
        <w:widowControl/>
        <w:spacing w:beforeAutospacing="0" w:afterAutospacing="0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2、景区配套旅游设施项目；自由活动期间的餐食费和交通费</w:t>
      </w:r>
    </w:p>
    <w:p>
      <w:pPr>
        <w:pStyle w:val="3"/>
        <w:widowControl/>
        <w:spacing w:beforeAutospacing="0" w:afterAutospacing="0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3、个人消费（如酒店内洗衣、电话及未提到的其它服务</w:t>
      </w:r>
    </w:p>
    <w:p>
      <w:pPr>
        <w:pStyle w:val="3"/>
        <w:widowControl/>
        <w:spacing w:beforeAutospacing="0" w:afterAutospacing="0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4、中国境内机场（车站）接送；行李物品托管或超重费</w:t>
      </w:r>
    </w:p>
    <w:p>
      <w:pPr>
        <w:pStyle w:val="3"/>
        <w:widowControl/>
        <w:spacing w:beforeAutospacing="0" w:afterAutospacing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</w:rPr>
        <w:t>5、酒店押金，单间差或加床费用</w:t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；单房差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280元/人</w:t>
      </w:r>
    </w:p>
    <w:p>
      <w:pPr>
        <w:pStyle w:val="3"/>
        <w:widowControl/>
        <w:spacing w:beforeAutospacing="0" w:afterAutospacing="0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6、因交通延误、取消等意外事件或战争、罢工、自然灾害等不可抗拒力导致的额外费</w:t>
      </w:r>
    </w:p>
    <w:p>
      <w:pPr>
        <w:pStyle w:val="3"/>
        <w:widowControl/>
        <w:spacing w:beforeAutospacing="0" w:afterAutospacing="0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7、因旅游者违约、自身过错、自身疾病导致的人身财产损失而额外支付的费用</w:t>
      </w:r>
    </w:p>
    <w:p>
      <w:pPr>
        <w:pStyle w:val="3"/>
        <w:widowControl/>
        <w:spacing w:beforeAutospacing="0" w:afterAutospacing="0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8、“旅游费用包含”内容以外的所有费用</w:t>
      </w:r>
    </w:p>
    <w:p>
      <w:pPr>
        <w:pStyle w:val="3"/>
        <w:widowControl/>
        <w:spacing w:beforeAutospacing="0" w:afterAutospacing="0"/>
      </w:pPr>
    </w:p>
    <w:p>
      <w:pPr>
        <w:pStyle w:val="3"/>
        <w:widowControl/>
        <w:spacing w:beforeAutospacing="0" w:afterAutospacing="0"/>
        <w:jc w:val="center"/>
      </w:pPr>
      <w:r>
        <w:rPr>
          <w:rFonts w:ascii="宋体" w:hAnsi="宋体" w:cs="宋体"/>
          <w:kern w:val="0"/>
          <w:sz w:val="24"/>
        </w:rPr>
        <w:pict>
          <v:shape id="_x0000_i1025" o:spt="138" type="#_x0000_t138" style="height:30.75pt;width:110.25pt;" fillcolor="#FFFFCC" filled="t" coordsize="21600,21600">
            <v:path/>
            <v:fill type="gradient" on="t" color2="#FF9999" focus="100%" focussize="0f,0f"/>
            <v:stroke/>
            <v:imagedata o:title=""/>
            <o:lock v:ext="edit"/>
            <v:textpath on="t" fitshape="t" fitpath="t" trim="t" xscale="f" string="温馨提示" style="font-family:宋体;font-size:20pt;v-text-align:center;"/>
            <o:extrusion backdepth="18pt" brightness="10000f" color="#0066CC" lightlevel="44000f" lightlevel2="24000f" lightposition="0,-50000,10000" lightposition2="0,50000,10000" on="t" skewangle="-45" viewpoint="-34.7222222222222mm,-34.7222222222222mm,250mm" viewpointorigin="-0.5,0"/>
            <w10:wrap type="none"/>
            <w10:anchorlock/>
          </v:shape>
        </w:pict>
      </w:r>
    </w:p>
    <w:p>
      <w:pPr>
        <w:pStyle w:val="3"/>
        <w:widowControl/>
        <w:spacing w:beforeAutospacing="0" w:afterAutospacing="0"/>
      </w:pPr>
    </w:p>
    <w:p>
      <w:pPr>
        <w:pStyle w:val="2"/>
        <w:widowControl/>
        <w:shd w:val="clear"/>
        <w:spacing w:line="360" w:lineRule="exact"/>
        <w:rPr>
          <w:rFonts w:cs="黑体"/>
          <w:b w:val="0"/>
          <w:color w:val="000000"/>
          <w:szCs w:val="18"/>
        </w:rPr>
      </w:pPr>
      <w:r>
        <w:rPr>
          <w:rFonts w:hint="eastAsia" w:cs="黑体"/>
          <w:b w:val="0"/>
          <w:color w:val="000000"/>
          <w:szCs w:val="18"/>
        </w:rPr>
        <w:t>一：饮食安全注意事项</w:t>
      </w:r>
    </w:p>
    <w:p>
      <w:pPr>
        <w:pStyle w:val="2"/>
        <w:widowControl/>
        <w:shd w:val="clear"/>
        <w:spacing w:line="360" w:lineRule="exact"/>
        <w:rPr>
          <w:rFonts w:cs="黑体"/>
          <w:b w:val="0"/>
          <w:color w:val="000000"/>
          <w:szCs w:val="18"/>
        </w:rPr>
      </w:pPr>
      <w:r>
        <w:rPr>
          <w:rFonts w:hint="eastAsia" w:cs="黑体"/>
          <w:b w:val="0"/>
          <w:color w:val="000000"/>
          <w:szCs w:val="18"/>
        </w:rPr>
        <w:t>1. 旅游期间切勿吃生食、生海鲜等，在旅游目的地不可光顾路边无牌照摊档，不要购买“三无” 商品，忌暴饮暴食，应多喝开水，多吃蔬菜水果，少抽烟，少喝酒。因私自食用不洁食品和海鲜引起的肠胃疾病，旅行社不承担经济赔偿责任。</w:t>
      </w:r>
    </w:p>
    <w:p>
      <w:pPr>
        <w:pStyle w:val="2"/>
        <w:widowControl/>
        <w:shd w:val="clear"/>
        <w:spacing w:line="360" w:lineRule="exact"/>
        <w:rPr>
          <w:rFonts w:cs="黑体"/>
          <w:b w:val="0"/>
          <w:color w:val="000000"/>
          <w:szCs w:val="18"/>
        </w:rPr>
      </w:pPr>
      <w:r>
        <w:rPr>
          <w:rFonts w:hint="eastAsia" w:cs="黑体"/>
          <w:b w:val="0"/>
          <w:color w:val="000000"/>
          <w:szCs w:val="18"/>
        </w:rPr>
        <w:t>2. 不要随意接受和食用陌生人赠送的香烟、食物和饮品，防止不必要的危险。</w:t>
      </w:r>
    </w:p>
    <w:p>
      <w:pPr>
        <w:pStyle w:val="2"/>
        <w:widowControl/>
        <w:shd w:val="clear"/>
        <w:spacing w:line="360" w:lineRule="exact"/>
        <w:rPr>
          <w:rFonts w:cs="黑体"/>
          <w:b w:val="0"/>
          <w:color w:val="000000"/>
          <w:szCs w:val="18"/>
        </w:rPr>
      </w:pPr>
      <w:r>
        <w:rPr>
          <w:rFonts w:hint="eastAsia" w:cs="黑体"/>
          <w:b w:val="0"/>
          <w:color w:val="000000"/>
          <w:szCs w:val="18"/>
        </w:rPr>
        <w:t>3. 为防止旅途中水土不服，旅游者应自备一些常用药品以备不时之需，切勿随意服用他人提供的药品。</w:t>
      </w:r>
    </w:p>
    <w:p>
      <w:pPr>
        <w:pStyle w:val="2"/>
        <w:widowControl/>
        <w:shd w:val="clear"/>
        <w:spacing w:line="360" w:lineRule="exact"/>
        <w:rPr>
          <w:rFonts w:cs="黑体"/>
          <w:b w:val="0"/>
          <w:color w:val="000000"/>
          <w:szCs w:val="18"/>
        </w:rPr>
      </w:pPr>
      <w:r>
        <w:rPr>
          <w:rFonts w:hint="eastAsia" w:cs="黑体"/>
          <w:b w:val="0"/>
          <w:color w:val="000000"/>
          <w:szCs w:val="18"/>
        </w:rPr>
        <w:t>4. 如对饮食有特殊要求，请在报名时告知旅行社并提前与导游说明，以便更好地给您安排饮食。</w:t>
      </w:r>
    </w:p>
    <w:p>
      <w:pPr>
        <w:pStyle w:val="2"/>
        <w:widowControl/>
        <w:shd w:val="clear"/>
        <w:spacing w:line="360" w:lineRule="exact"/>
        <w:rPr>
          <w:rFonts w:cs="黑体"/>
          <w:b w:val="0"/>
          <w:color w:val="000000"/>
          <w:szCs w:val="18"/>
        </w:rPr>
      </w:pPr>
      <w:r>
        <w:rPr>
          <w:rFonts w:hint="eastAsia" w:cs="黑体"/>
          <w:b w:val="0"/>
          <w:color w:val="000000"/>
          <w:szCs w:val="18"/>
        </w:rPr>
        <w:t>5. 旅游团队用餐，旅行社按承诺标准确保餐饮卫生及餐食数量，但不一定满足口味需求，敬请旅游者见谅；团队餐中一般不含酒类和特殊饮料，有饮酒习惯者请自行付费购买，但不可贪杯；</w:t>
      </w:r>
    </w:p>
    <w:p>
      <w:pPr>
        <w:pStyle w:val="2"/>
        <w:widowControl/>
        <w:shd w:val="clear"/>
        <w:spacing w:line="360" w:lineRule="exact"/>
        <w:rPr>
          <w:rFonts w:cs="黑体"/>
          <w:b w:val="0"/>
          <w:color w:val="000000"/>
          <w:szCs w:val="18"/>
        </w:rPr>
      </w:pPr>
      <w:r>
        <w:rPr>
          <w:rFonts w:hint="eastAsia" w:cs="黑体"/>
          <w:b w:val="0"/>
          <w:color w:val="000000"/>
          <w:szCs w:val="18"/>
        </w:rPr>
        <w:t>二：住宿安全注意事项</w:t>
      </w:r>
    </w:p>
    <w:p>
      <w:pPr>
        <w:pStyle w:val="2"/>
        <w:widowControl/>
        <w:shd w:val="clear"/>
        <w:spacing w:line="360" w:lineRule="exact"/>
        <w:rPr>
          <w:rFonts w:cs="黑体"/>
          <w:b w:val="0"/>
          <w:color w:val="000000"/>
          <w:szCs w:val="18"/>
        </w:rPr>
      </w:pPr>
      <w:r>
        <w:rPr>
          <w:rFonts w:hint="eastAsia" w:cs="黑体"/>
          <w:b w:val="0"/>
          <w:color w:val="000000"/>
          <w:szCs w:val="18"/>
        </w:rPr>
        <w:t>1. 抵达酒店后请您在前台领取酒店名片，如果迷路时可以按名片提示的电话安全顺利返回酒店。携带贵重物品须委托饭店寄存和保管，或存放于酒店保险箱内，离开饭店时别忘了拿走自己的贵重物品及行李</w:t>
      </w:r>
    </w:p>
    <w:p>
      <w:pPr>
        <w:pStyle w:val="2"/>
        <w:widowControl/>
        <w:shd w:val="clear"/>
        <w:spacing w:line="360" w:lineRule="exact"/>
        <w:rPr>
          <w:rFonts w:cs="黑体"/>
          <w:b w:val="0"/>
          <w:color w:val="000000"/>
          <w:szCs w:val="18"/>
        </w:rPr>
      </w:pPr>
      <w:r>
        <w:rPr>
          <w:rFonts w:hint="eastAsia" w:cs="黑体"/>
          <w:b w:val="0"/>
          <w:color w:val="000000"/>
          <w:szCs w:val="18"/>
        </w:rPr>
        <w:t>2. 入住酒店后，应了解酒店安全须知，熟悉安全转移的路线。入住时立即检查房间内设施是否有损坏、缺少、污染。发现问题及时要求更换调整，以免退房时发生不必要的麻烦。</w:t>
      </w:r>
    </w:p>
    <w:p>
      <w:pPr>
        <w:pStyle w:val="2"/>
        <w:widowControl/>
        <w:shd w:val="clear"/>
        <w:spacing w:line="360" w:lineRule="exact"/>
        <w:rPr>
          <w:rFonts w:cs="黑体"/>
          <w:b w:val="0"/>
          <w:color w:val="000000"/>
          <w:szCs w:val="18"/>
        </w:rPr>
      </w:pPr>
      <w:r>
        <w:rPr>
          <w:rFonts w:hint="eastAsia" w:cs="黑体"/>
          <w:b w:val="0"/>
          <w:color w:val="000000"/>
          <w:szCs w:val="18"/>
        </w:rPr>
        <w:t>3. 在洗浴时请注意防滑，建议提前铺好防滑垫，防止滑倒受伤。不得在床上吸烟，正确使用电器、电源</w:t>
      </w:r>
    </w:p>
    <w:p>
      <w:pPr>
        <w:pStyle w:val="2"/>
        <w:widowControl/>
        <w:shd w:val="clear"/>
        <w:spacing w:line="360" w:lineRule="exact"/>
        <w:rPr>
          <w:rFonts w:cs="黑体"/>
          <w:b w:val="0"/>
          <w:color w:val="000000"/>
          <w:szCs w:val="18"/>
        </w:rPr>
      </w:pPr>
      <w:r>
        <w:rPr>
          <w:rFonts w:hint="eastAsia" w:cs="黑体"/>
          <w:b w:val="0"/>
          <w:color w:val="000000"/>
          <w:szCs w:val="18"/>
        </w:rPr>
        <w:t>4. 睡前及离店时请确保关闭房间门窗。保管好房卡或钥匙，切勿将房间号告诉陌生人，或邀请陌生人到房间内交谈，以免发生人身和财物安全问题。</w:t>
      </w:r>
    </w:p>
    <w:p>
      <w:pPr>
        <w:pStyle w:val="2"/>
        <w:widowControl/>
        <w:shd w:val="clear"/>
        <w:spacing w:line="360" w:lineRule="exact"/>
        <w:rPr>
          <w:rFonts w:cs="黑体"/>
          <w:b w:val="0"/>
          <w:color w:val="000000"/>
          <w:szCs w:val="18"/>
        </w:rPr>
      </w:pPr>
      <w:r>
        <w:rPr>
          <w:rFonts w:hint="eastAsia" w:cs="黑体"/>
          <w:b w:val="0"/>
          <w:color w:val="000000"/>
          <w:szCs w:val="18"/>
        </w:rPr>
        <w:t>三:用车安全注意事项</w:t>
      </w:r>
    </w:p>
    <w:p>
      <w:pPr>
        <w:pStyle w:val="2"/>
        <w:widowControl/>
        <w:shd w:val="clear"/>
        <w:spacing w:line="360" w:lineRule="exact"/>
        <w:rPr>
          <w:rFonts w:cs="黑体"/>
          <w:b w:val="0"/>
          <w:color w:val="000000"/>
          <w:szCs w:val="18"/>
        </w:rPr>
      </w:pPr>
      <w:r>
        <w:rPr>
          <w:rFonts w:hint="eastAsia" w:cs="黑体"/>
          <w:b w:val="0"/>
          <w:color w:val="000000"/>
          <w:szCs w:val="18"/>
        </w:rPr>
        <w:t>1. 车辆行驶时尽量避免在车厢内走动或站立，需要走动或站立时，应当扶稳扶好并告知导游和司机。请勿与司机交谈或催促司机开快车，禁止在车内吸烟。请勿将头、手、脚或者行李物品伸出窗外，以免发生意外。不要向车窗外扔物品，以免伤人。</w:t>
      </w:r>
    </w:p>
    <w:p>
      <w:pPr>
        <w:pStyle w:val="2"/>
        <w:widowControl/>
        <w:shd w:val="clear"/>
        <w:spacing w:line="360" w:lineRule="exact"/>
        <w:rPr>
          <w:rFonts w:cs="黑体"/>
          <w:b w:val="0"/>
          <w:color w:val="000000"/>
          <w:szCs w:val="18"/>
        </w:rPr>
      </w:pPr>
      <w:r>
        <w:rPr>
          <w:rFonts w:hint="eastAsia" w:cs="黑体"/>
          <w:b w:val="0"/>
          <w:color w:val="000000"/>
          <w:szCs w:val="18"/>
        </w:rPr>
        <w:t>2. 下车时请不要拥挤，注意脚下安全，并随身携带贵重物品。下车后注意周围车辆安全，以免发生危险。</w:t>
      </w:r>
    </w:p>
    <w:p>
      <w:pPr>
        <w:pStyle w:val="2"/>
        <w:widowControl/>
        <w:shd w:val="clear"/>
        <w:spacing w:line="360" w:lineRule="exact"/>
        <w:rPr>
          <w:rFonts w:cs="黑体"/>
          <w:b w:val="0"/>
          <w:color w:val="000000"/>
          <w:szCs w:val="18"/>
        </w:rPr>
      </w:pPr>
      <w:r>
        <w:rPr>
          <w:rFonts w:hint="eastAsia" w:cs="黑体"/>
          <w:b w:val="0"/>
          <w:color w:val="000000"/>
          <w:szCs w:val="18"/>
        </w:rPr>
        <w:t>3. 乘坐交通工具请提前抵达，以免延误行程。乘坐飞机时带好有效期内的身份证，小孩须带户口簿等有效证件，不携带违禁物品上飞机或汽车。</w:t>
      </w:r>
    </w:p>
    <w:p>
      <w:pPr>
        <w:pStyle w:val="2"/>
        <w:widowControl/>
        <w:shd w:val="clear"/>
        <w:spacing w:line="360" w:lineRule="exact"/>
        <w:rPr>
          <w:rFonts w:cs="黑体"/>
          <w:b w:val="0"/>
          <w:color w:val="000000"/>
          <w:szCs w:val="18"/>
        </w:rPr>
      </w:pPr>
      <w:r>
        <w:rPr>
          <w:rFonts w:hint="eastAsia" w:cs="黑体"/>
          <w:b w:val="0"/>
          <w:color w:val="000000"/>
          <w:szCs w:val="18"/>
        </w:rPr>
        <w:t>4.请严格遵守导游游览时间安排，切勿自行游览，无视导游规定时间，以免耽误其他游客游览行程。</w:t>
      </w:r>
    </w:p>
    <w:p>
      <w:pPr>
        <w:pStyle w:val="2"/>
        <w:widowControl/>
        <w:shd w:val="clear"/>
        <w:spacing w:line="360" w:lineRule="exact"/>
        <w:rPr>
          <w:rFonts w:cs="黑体"/>
          <w:b w:val="0"/>
          <w:color w:val="000000"/>
          <w:szCs w:val="18"/>
        </w:rPr>
      </w:pPr>
      <w:r>
        <w:rPr>
          <w:rFonts w:hint="eastAsia" w:cs="黑体"/>
          <w:b w:val="0"/>
          <w:color w:val="000000"/>
          <w:szCs w:val="18"/>
        </w:rPr>
        <w:t>5. 由于每组游客的往返航班时间不同，无法安排一个导游一一接送，第一天接机入住酒店和最后一天送机由我社专业人员负责接送，请游客理解。</w:t>
      </w:r>
    </w:p>
    <w:p>
      <w:pPr>
        <w:pStyle w:val="2"/>
        <w:widowControl/>
        <w:shd w:val="clear"/>
        <w:spacing w:line="360" w:lineRule="exact"/>
        <w:rPr>
          <w:rFonts w:cs="黑体"/>
          <w:b w:val="0"/>
          <w:color w:val="000000"/>
          <w:szCs w:val="18"/>
        </w:rPr>
      </w:pPr>
      <w:r>
        <w:rPr>
          <w:rFonts w:hint="eastAsia" w:cs="黑体"/>
          <w:b w:val="0"/>
          <w:color w:val="000000"/>
          <w:szCs w:val="18"/>
        </w:rPr>
        <w:t>四：游览安全注意事项</w:t>
      </w:r>
    </w:p>
    <w:p>
      <w:pPr>
        <w:pStyle w:val="2"/>
        <w:widowControl/>
        <w:shd w:val="clear"/>
        <w:spacing w:line="360" w:lineRule="exact"/>
        <w:rPr>
          <w:rFonts w:cs="黑体"/>
          <w:b w:val="0"/>
          <w:color w:val="000000"/>
          <w:szCs w:val="18"/>
        </w:rPr>
      </w:pPr>
      <w:r>
        <w:rPr>
          <w:rFonts w:hint="eastAsia" w:cs="黑体"/>
          <w:b w:val="0"/>
          <w:color w:val="000000"/>
          <w:szCs w:val="18"/>
        </w:rPr>
        <w:t>1. 为保证计划行程顺利完成，请遵守团队作息时间，积极配合导游工作。在景区内请听从导游安排，跟随导游游览时，注意脚下安全。请不要到“旅游者止步”区域游览。</w:t>
      </w:r>
    </w:p>
    <w:p>
      <w:pPr>
        <w:pStyle w:val="2"/>
        <w:widowControl/>
        <w:shd w:val="clear"/>
        <w:spacing w:line="360" w:lineRule="exact"/>
        <w:rPr>
          <w:rFonts w:cs="黑体"/>
          <w:b w:val="0"/>
          <w:color w:val="000000"/>
          <w:szCs w:val="18"/>
        </w:rPr>
      </w:pPr>
      <w:r>
        <w:rPr>
          <w:rFonts w:hint="eastAsia" w:cs="黑体"/>
          <w:b w:val="0"/>
          <w:color w:val="000000"/>
          <w:szCs w:val="18"/>
        </w:rPr>
        <w:t>2. 请避免离团活动，如确有需要，请提前以短信或书面方式通报导游，并在约定时间内准时归队。非本公司组织安排的游览活动，旅游者自行承担风险。由此发生的损失及纠纷，由旅游者自行承担和解决，旅行社不承担任何责任。</w:t>
      </w:r>
    </w:p>
    <w:p>
      <w:pPr>
        <w:pStyle w:val="2"/>
        <w:widowControl/>
        <w:shd w:val="clear"/>
        <w:spacing w:line="360" w:lineRule="exact"/>
        <w:rPr>
          <w:rFonts w:cs="黑体"/>
          <w:b w:val="0"/>
          <w:color w:val="000000"/>
          <w:szCs w:val="18"/>
        </w:rPr>
      </w:pPr>
      <w:r>
        <w:rPr>
          <w:rFonts w:hint="eastAsia" w:cs="黑体"/>
          <w:b w:val="0"/>
          <w:color w:val="000000"/>
          <w:szCs w:val="18"/>
        </w:rPr>
        <w:t>3. 法定节假日及暑期等旅游旺季，客流量急剧上升，景区门前、缆车入口、码头登船处等会出现排长队现象，旅行社将根据景点、缆车、游船等开放的具体时间，对叫早、出发等时间做适当的提前或错后调整，请旅游者积极配合。</w:t>
      </w:r>
    </w:p>
    <w:p>
      <w:pPr>
        <w:pStyle w:val="2"/>
        <w:widowControl/>
        <w:shd w:val="clear"/>
        <w:spacing w:line="360" w:lineRule="exact"/>
        <w:rPr>
          <w:rFonts w:cs="黑体"/>
          <w:b w:val="0"/>
          <w:color w:val="000000"/>
          <w:szCs w:val="18"/>
        </w:rPr>
      </w:pPr>
      <w:r>
        <w:rPr>
          <w:rFonts w:hint="eastAsia" w:cs="黑体"/>
          <w:b w:val="0"/>
          <w:color w:val="000000"/>
          <w:szCs w:val="18"/>
        </w:rPr>
        <w:t>4.旅游者参加活动时，应遵守活动项目中有关保障人身、财产安全的措施及规定，在景区指定区域内开展活动，注意人身安全。旅行社不赞成旅游者参加此类活动，旅游者因参加高危险活动造成人身和财产损失，旅行社概不负责。酒后禁止参加高风险娱乐项目。</w:t>
      </w:r>
    </w:p>
    <w:p>
      <w:pPr>
        <w:pStyle w:val="2"/>
        <w:widowControl/>
        <w:shd w:val="clear"/>
        <w:spacing w:line="360" w:lineRule="exact"/>
        <w:rPr>
          <w:rFonts w:cs="黑体"/>
          <w:b w:val="0"/>
          <w:color w:val="000000"/>
          <w:szCs w:val="18"/>
        </w:rPr>
      </w:pPr>
      <w:r>
        <w:rPr>
          <w:rFonts w:hint="eastAsia" w:cs="黑体"/>
          <w:b w:val="0"/>
          <w:color w:val="000000"/>
          <w:szCs w:val="18"/>
        </w:rPr>
        <w:t>5.游客携带未成年的游客时，请认真履行监护责任，管好自己的孩子，不能让未成年人单独行动，并注意安全。</w:t>
      </w:r>
    </w:p>
    <w:p>
      <w:pPr>
        <w:pStyle w:val="2"/>
        <w:widowControl/>
        <w:shd w:val="clear"/>
        <w:spacing w:line="360" w:lineRule="exact"/>
        <w:rPr>
          <w:rFonts w:cs="黑体"/>
          <w:b w:val="0"/>
          <w:color w:val="000000"/>
          <w:szCs w:val="18"/>
        </w:rPr>
      </w:pPr>
      <w:r>
        <w:rPr>
          <w:rFonts w:hint="eastAsia" w:cs="黑体"/>
          <w:b w:val="0"/>
          <w:color w:val="000000"/>
          <w:szCs w:val="18"/>
        </w:rPr>
        <w:t>五：娱乐安全注意事项</w:t>
      </w:r>
    </w:p>
    <w:p>
      <w:pPr>
        <w:pStyle w:val="2"/>
        <w:widowControl/>
        <w:shd w:val="clear"/>
        <w:spacing w:line="360" w:lineRule="exact"/>
        <w:rPr>
          <w:rFonts w:cs="黑体"/>
          <w:b w:val="0"/>
          <w:color w:val="000000"/>
          <w:szCs w:val="18"/>
        </w:rPr>
      </w:pPr>
      <w:r>
        <w:rPr>
          <w:rFonts w:hint="eastAsia" w:cs="黑体"/>
          <w:b w:val="0"/>
          <w:color w:val="000000"/>
          <w:szCs w:val="18"/>
        </w:rPr>
        <w:t>1.参加娱乐活动请选择有资质的健康场所，千万不能进黑店、黄店，以免发生纠纷和人身安全。</w:t>
      </w:r>
    </w:p>
    <w:p>
      <w:pPr>
        <w:pStyle w:val="3"/>
        <w:widowControl/>
        <w:spacing w:beforeAutospacing="0" w:afterAutospacing="0"/>
        <w:rPr>
          <w:sz w:val="18"/>
          <w:szCs w:val="18"/>
        </w:rPr>
      </w:pPr>
      <w:r>
        <w:rPr>
          <w:rFonts w:hint="eastAsia" w:cs="黑体"/>
          <w:b w:val="0"/>
          <w:color w:val="000000"/>
          <w:sz w:val="18"/>
          <w:szCs w:val="18"/>
        </w:rPr>
        <w:t>2.娱乐要注意节奏，不要过度疲劳而影响身体，一定要管好自己的钱、财、物。营造文明、和谐的旅游环境，关系到每位游客的切身利益。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116D25"/>
    <w:rsid w:val="00340F8B"/>
    <w:rsid w:val="003B1B52"/>
    <w:rsid w:val="00BA5004"/>
    <w:rsid w:val="00D45E8A"/>
    <w:rsid w:val="00DF1EBB"/>
    <w:rsid w:val="00E72F48"/>
    <w:rsid w:val="00FE18B5"/>
    <w:rsid w:val="03C27103"/>
    <w:rsid w:val="03F541F7"/>
    <w:rsid w:val="04B01593"/>
    <w:rsid w:val="04BD27BF"/>
    <w:rsid w:val="04EC6C3F"/>
    <w:rsid w:val="06616E55"/>
    <w:rsid w:val="06BD19D3"/>
    <w:rsid w:val="087323F0"/>
    <w:rsid w:val="08CC5DC2"/>
    <w:rsid w:val="092165E9"/>
    <w:rsid w:val="09972D9F"/>
    <w:rsid w:val="0C8F55BA"/>
    <w:rsid w:val="11704633"/>
    <w:rsid w:val="14431985"/>
    <w:rsid w:val="15777677"/>
    <w:rsid w:val="16EF3C5C"/>
    <w:rsid w:val="18B44D1F"/>
    <w:rsid w:val="19D409DE"/>
    <w:rsid w:val="1D282757"/>
    <w:rsid w:val="1E1359EC"/>
    <w:rsid w:val="1EA32DD0"/>
    <w:rsid w:val="211846CE"/>
    <w:rsid w:val="21A1067E"/>
    <w:rsid w:val="25E34B31"/>
    <w:rsid w:val="279C4B82"/>
    <w:rsid w:val="282430BA"/>
    <w:rsid w:val="29EC79E4"/>
    <w:rsid w:val="2AD04637"/>
    <w:rsid w:val="2E886D22"/>
    <w:rsid w:val="2EA25C35"/>
    <w:rsid w:val="2EBA1A97"/>
    <w:rsid w:val="30A513EE"/>
    <w:rsid w:val="324849EE"/>
    <w:rsid w:val="3493043C"/>
    <w:rsid w:val="35FE1CA5"/>
    <w:rsid w:val="364F75C6"/>
    <w:rsid w:val="37210BF7"/>
    <w:rsid w:val="37A37F25"/>
    <w:rsid w:val="39EB5F1B"/>
    <w:rsid w:val="3AC361C8"/>
    <w:rsid w:val="3B102935"/>
    <w:rsid w:val="3BDD30F9"/>
    <w:rsid w:val="3BDE520F"/>
    <w:rsid w:val="3D4B6217"/>
    <w:rsid w:val="3E261856"/>
    <w:rsid w:val="3EC7740D"/>
    <w:rsid w:val="3EDF3BB6"/>
    <w:rsid w:val="40782E93"/>
    <w:rsid w:val="410D5BD9"/>
    <w:rsid w:val="41552678"/>
    <w:rsid w:val="42295A9F"/>
    <w:rsid w:val="4276262A"/>
    <w:rsid w:val="42C12AF5"/>
    <w:rsid w:val="42EE45CD"/>
    <w:rsid w:val="43011E8F"/>
    <w:rsid w:val="43116D25"/>
    <w:rsid w:val="453D7D05"/>
    <w:rsid w:val="49111939"/>
    <w:rsid w:val="4942062D"/>
    <w:rsid w:val="4BF02986"/>
    <w:rsid w:val="4CAE4513"/>
    <w:rsid w:val="4F7959A8"/>
    <w:rsid w:val="53666A06"/>
    <w:rsid w:val="544C7AC4"/>
    <w:rsid w:val="57B94340"/>
    <w:rsid w:val="587F304E"/>
    <w:rsid w:val="58FC307E"/>
    <w:rsid w:val="5CEF4475"/>
    <w:rsid w:val="61154CBA"/>
    <w:rsid w:val="63440DAA"/>
    <w:rsid w:val="64D419F2"/>
    <w:rsid w:val="67C26EAC"/>
    <w:rsid w:val="688565E0"/>
    <w:rsid w:val="6FAA72F2"/>
    <w:rsid w:val="72C44BDB"/>
    <w:rsid w:val="793146D8"/>
    <w:rsid w:val="7B14334F"/>
    <w:rsid w:val="7E871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99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Normal (Web)"/>
    <w:basedOn w:val="1"/>
    <w:uiPriority w:val="99"/>
    <w:pPr>
      <w:spacing w:beforeAutospacing="1" w:afterAutospacing="1"/>
      <w:jc w:val="left"/>
    </w:pPr>
    <w:rPr>
      <w:kern w:val="0"/>
      <w:sz w:val="24"/>
    </w:rPr>
  </w:style>
  <w:style w:type="character" w:styleId="6">
    <w:name w:val="Strong"/>
    <w:basedOn w:val="5"/>
    <w:qFormat/>
    <w:uiPriority w:val="99"/>
    <w:rPr>
      <w:rFonts w:cs="Times New Roman"/>
      <w:b/>
    </w:rPr>
  </w:style>
  <w:style w:type="character" w:styleId="7">
    <w:name w:val="Hyperlink"/>
    <w:basedOn w:val="5"/>
    <w:qFormat/>
    <w:uiPriority w:val="99"/>
    <w:rPr>
      <w:rFonts w:cs="Times New Roman"/>
      <w:color w:val="0000FF"/>
      <w:u w:val="single"/>
    </w:rPr>
  </w:style>
  <w:style w:type="paragraph" w:customStyle="1" w:styleId="8">
    <w:name w:val="p0"/>
    <w:basedOn w:val="1"/>
    <w:qFormat/>
    <w:uiPriority w:val="99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5</Pages>
  <Words>655</Words>
  <Characters>3735</Characters>
  <Lines>0</Lines>
  <Paragraphs>0</Paragraphs>
  <TotalTime>1</TotalTime>
  <ScaleCrop>false</ScaleCrop>
  <LinksUpToDate>false</LinksUpToDate>
  <CharactersWithSpaces>0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2019-04-10T03:21:00Z</dcterms:created>
  <dc:creator>阿冰</dc:creator>
  <cp:lastModifiedBy>Administrator</cp:lastModifiedBy>
  <dcterms:modified xsi:type="dcterms:W3CDTF">2019-04-12T07:52:44Z</dcterms:modified>
  <dc:title>厦门+潮汕+云水谣土楼6天5晚游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