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4"/>
    </v:background>
  </w:background>
  <w:body>
    <w:p>
      <w:pPr>
        <w:tabs>
          <w:tab w:val="left" w:pos="6066"/>
        </w:tabs>
        <w:ind w:firstLine="723" w:firstLineChars="100"/>
        <w:jc w:val="center"/>
        <w:rPr>
          <w:rFonts w:hint="eastAsia" w:ascii="宋体" w:hAnsi="宋体" w:cs="宋体"/>
          <w:b/>
          <w:bCs w:val="0"/>
          <w:color w:val="C00000"/>
          <w:sz w:val="72"/>
          <w:szCs w:val="72"/>
          <w:lang w:eastAsia="zh-CN"/>
        </w:rPr>
        <w:sectPr>
          <w:pgSz w:w="11906" w:h="16838"/>
          <w:pgMar w:top="1417" w:right="720" w:bottom="1134" w:left="720" w:header="851" w:footer="992" w:gutter="0"/>
          <w:cols w:space="0" w:num="1"/>
          <w:rtlGutter w:val="0"/>
          <w:docGrid w:type="lines" w:linePitch="312" w:charSpace="0"/>
        </w:sectPr>
      </w:pPr>
      <w:r>
        <w:rPr>
          <w:rFonts w:hint="eastAsia" w:ascii="宋体" w:hAnsi="宋体" w:cs="宋体"/>
          <w:b/>
          <w:bCs w:val="0"/>
          <w:color w:val="C00000"/>
          <w:sz w:val="72"/>
          <w:szCs w:val="72"/>
          <w:lang w:eastAsia="zh-CN"/>
        </w:rPr>
        <w:drawing>
          <wp:anchor distT="0" distB="0" distL="114300" distR="114300" simplePos="0" relativeHeight="251664384" behindDoc="1" locked="0" layoutInCell="1" allowOverlap="1">
            <wp:simplePos x="0" y="0"/>
            <wp:positionH relativeFrom="column">
              <wp:posOffset>-455930</wp:posOffset>
            </wp:positionH>
            <wp:positionV relativeFrom="paragraph">
              <wp:posOffset>-905510</wp:posOffset>
            </wp:positionV>
            <wp:extent cx="7562850" cy="10690225"/>
            <wp:effectExtent l="0" t="0" r="0" b="0"/>
            <wp:wrapTight wrapText="bothSides">
              <wp:wrapPolygon>
                <wp:start x="0" y="0"/>
                <wp:lineTo x="0" y="21555"/>
                <wp:lineTo x="21546" y="21555"/>
                <wp:lineTo x="21546" y="0"/>
                <wp:lineTo x="0" y="0"/>
              </wp:wrapPolygon>
            </wp:wrapTight>
            <wp:docPr id="7" name="图片 7" descr="微信图片_20191104152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191104152348"/>
                    <pic:cNvPicPr>
                      <a:picLocks noChangeAspect="1"/>
                    </pic:cNvPicPr>
                  </pic:nvPicPr>
                  <pic:blipFill>
                    <a:blip r:embed="rId5"/>
                    <a:stretch>
                      <a:fillRect/>
                    </a:stretch>
                  </pic:blipFill>
                  <pic:spPr>
                    <a:xfrm>
                      <a:off x="0" y="0"/>
                      <a:ext cx="7562850" cy="10690225"/>
                    </a:xfrm>
                    <a:prstGeom prst="rect">
                      <a:avLst/>
                    </a:prstGeom>
                  </pic:spPr>
                </pic:pic>
              </a:graphicData>
            </a:graphic>
          </wp:anchor>
        </w:drawing>
      </w:r>
    </w:p>
    <w:p>
      <w:pPr>
        <w:tabs>
          <w:tab w:val="left" w:pos="6066"/>
        </w:tabs>
        <w:ind w:firstLine="723" w:firstLineChars="100"/>
        <w:jc w:val="center"/>
        <w:rPr>
          <w:rFonts w:hint="eastAsia" w:ascii="宋体" w:hAnsi="宋体" w:cs="宋体"/>
          <w:b/>
          <w:bCs w:val="0"/>
          <w:color w:val="C00000"/>
          <w:sz w:val="72"/>
          <w:szCs w:val="72"/>
          <w:lang w:eastAsia="zh-CN"/>
        </w:rPr>
      </w:pPr>
      <w:r>
        <w:rPr>
          <w:rFonts w:hint="eastAsia" w:ascii="宋体" w:hAnsi="宋体" w:cs="宋体"/>
          <w:b/>
          <w:bCs w:val="0"/>
          <w:color w:val="C00000"/>
          <w:sz w:val="72"/>
          <w:szCs w:val="72"/>
          <w:lang w:eastAsia="zh-CN"/>
        </w:rPr>
        <w:t>【江西风暴】</w:t>
      </w:r>
    </w:p>
    <w:p>
      <w:pPr>
        <w:tabs>
          <w:tab w:val="left" w:pos="6066"/>
        </w:tabs>
        <w:jc w:val="center"/>
        <w:rPr>
          <w:rFonts w:hint="eastAsia" w:ascii="宋体" w:hAnsi="宋体" w:cs="宋体"/>
          <w:b/>
          <w:bCs w:val="0"/>
          <w:color w:val="auto"/>
          <w:sz w:val="28"/>
          <w:szCs w:val="28"/>
          <w:lang w:val="en-US" w:eastAsia="zh-CN"/>
        </w:rPr>
      </w:pPr>
      <w:r>
        <w:rPr>
          <w:rFonts w:hint="eastAsia" w:ascii="宋体" w:hAnsi="宋体" w:cs="宋体"/>
          <w:b/>
          <w:bCs w:val="0"/>
          <w:color w:val="C00000"/>
          <w:sz w:val="32"/>
          <w:szCs w:val="32"/>
          <w:lang w:val="en-US" w:eastAsia="zh-CN"/>
        </w:rPr>
        <w:t xml:space="preserve">南昌/东林大佛/婺源/景德镇/龙虎山/上饶集中营双飞5日游 </w:t>
      </w:r>
    </w:p>
    <w:tbl>
      <w:tblPr>
        <w:tblStyle w:val="6"/>
        <w:tblW w:w="105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39"/>
        <w:gridCol w:w="7657"/>
        <w:gridCol w:w="855"/>
        <w:gridCol w:w="1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09" w:type="dxa"/>
            <w:shd w:val="clear" w:color="auto" w:fill="600B04"/>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FFFF00"/>
                <w:sz w:val="21"/>
                <w:szCs w:val="21"/>
              </w:rPr>
            </w:pPr>
            <w:r>
              <w:rPr>
                <w:rFonts w:hint="eastAsia" w:ascii="宋体" w:hAnsi="宋体" w:eastAsia="宋体" w:cs="宋体"/>
                <w:b/>
                <w:color w:val="FFFF00"/>
                <w:sz w:val="21"/>
                <w:szCs w:val="21"/>
              </w:rPr>
              <w:t>日期</w:t>
            </w:r>
          </w:p>
        </w:tc>
        <w:tc>
          <w:tcPr>
            <w:tcW w:w="7796" w:type="dxa"/>
            <w:gridSpan w:val="2"/>
            <w:shd w:val="clear" w:color="auto" w:fill="600B04"/>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FFFF00"/>
                <w:sz w:val="21"/>
                <w:szCs w:val="21"/>
              </w:rPr>
            </w:pPr>
            <w:r>
              <w:rPr>
                <w:rFonts w:hint="eastAsia" w:ascii="宋体" w:hAnsi="宋体" w:eastAsia="宋体" w:cs="宋体"/>
                <w:b/>
                <w:color w:val="FFFF00"/>
                <w:sz w:val="21"/>
                <w:szCs w:val="21"/>
              </w:rPr>
              <w:t>行 程 内 容</w:t>
            </w:r>
          </w:p>
        </w:tc>
        <w:tc>
          <w:tcPr>
            <w:tcW w:w="855" w:type="dxa"/>
            <w:shd w:val="clear" w:color="auto" w:fill="600B04"/>
            <w:vAlign w:val="center"/>
          </w:tcPr>
          <w:p>
            <w:pPr>
              <w:keepNext w:val="0"/>
              <w:keepLines w:val="0"/>
              <w:pageBreakBefore w:val="0"/>
              <w:kinsoku/>
              <w:wordWrap/>
              <w:overflowPunct/>
              <w:topLinePunct w:val="0"/>
              <w:autoSpaceDE/>
              <w:autoSpaceDN/>
              <w:bidi w:val="0"/>
              <w:adjustRightInd/>
              <w:snapToGrid/>
              <w:spacing w:line="360" w:lineRule="exact"/>
              <w:ind w:firstLine="105" w:firstLineChars="50"/>
              <w:jc w:val="center"/>
              <w:textAlignment w:val="auto"/>
              <w:outlineLvl w:val="9"/>
              <w:rPr>
                <w:rFonts w:hint="eastAsia" w:ascii="宋体" w:hAnsi="宋体" w:eastAsia="宋体" w:cs="宋体"/>
                <w:b/>
                <w:color w:val="FFFF00"/>
                <w:sz w:val="21"/>
                <w:szCs w:val="21"/>
              </w:rPr>
            </w:pPr>
            <w:r>
              <w:rPr>
                <w:rFonts w:hint="eastAsia" w:ascii="宋体" w:hAnsi="宋体" w:eastAsia="宋体" w:cs="宋体"/>
                <w:b/>
                <w:color w:val="FFFF00"/>
                <w:sz w:val="21"/>
                <w:szCs w:val="21"/>
              </w:rPr>
              <w:t>供餐</w:t>
            </w:r>
          </w:p>
        </w:tc>
        <w:tc>
          <w:tcPr>
            <w:tcW w:w="1140" w:type="dxa"/>
            <w:shd w:val="clear" w:color="auto" w:fill="600B04"/>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FFFF00"/>
                <w:sz w:val="21"/>
                <w:szCs w:val="21"/>
              </w:rPr>
            </w:pPr>
            <w:r>
              <w:rPr>
                <w:rFonts w:hint="eastAsia" w:ascii="宋体" w:hAnsi="宋体" w:eastAsia="宋体" w:cs="宋体"/>
                <w:b/>
                <w:color w:val="FFFF00"/>
                <w:sz w:val="21"/>
                <w:szCs w:val="21"/>
              </w:rPr>
              <w:t>住宿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709" w:type="dxa"/>
            <w:vAlign w:val="center"/>
          </w:tcPr>
          <w:p>
            <w:pPr>
              <w:spacing w:line="440" w:lineRule="exact"/>
              <w:jc w:val="center"/>
              <w:rPr>
                <w:rFonts w:hint="eastAsia" w:ascii="宋体" w:hAnsi="宋体" w:eastAsia="宋体" w:cs="宋体"/>
                <w:b/>
                <w:color w:val="000000"/>
                <w:sz w:val="21"/>
                <w:szCs w:val="21"/>
                <w:lang w:val="en-US" w:eastAsia="zh-CN"/>
              </w:rPr>
            </w:pPr>
            <w:r>
              <w:rPr>
                <w:rFonts w:hint="eastAsia" w:ascii="微软雅黑" w:hAnsi="微软雅黑" w:eastAsia="微软雅黑" w:cs="微软雅黑"/>
                <w:b/>
                <w:color w:val="000000"/>
                <w:lang w:val="en-US" w:eastAsia="zh-CN"/>
              </w:rPr>
              <w:t>D1</w:t>
            </w:r>
          </w:p>
        </w:tc>
        <w:tc>
          <w:tcPr>
            <w:tcW w:w="7796" w:type="dxa"/>
            <w:gridSpan w:val="2"/>
            <w:vAlign w:val="center"/>
          </w:tcPr>
          <w:p>
            <w:pPr>
              <w:spacing w:line="440" w:lineRule="exact"/>
              <w:rPr>
                <w:rFonts w:hint="eastAsia" w:ascii="宋体" w:hAnsi="宋体" w:eastAsia="宋体" w:cs="宋体"/>
                <w:b/>
                <w:color w:val="558ED5" w:themeColor="text2" w:themeTint="99"/>
                <w:sz w:val="28"/>
                <w:szCs w:val="28"/>
                <w:lang w:val="en-US" w:eastAsia="zh-CN"/>
                <w14:textFill>
                  <w14:solidFill>
                    <w14:schemeClr w14:val="tx2">
                      <w14:lumMod w14:val="60000"/>
                      <w14:lumOff w14:val="40000"/>
                    </w14:schemeClr>
                  </w14:solidFill>
                </w14:textFill>
              </w:rPr>
            </w:pPr>
            <w:r>
              <w:rPr>
                <w:rFonts w:hint="eastAsia" w:ascii="微软雅黑" w:hAnsi="微软雅黑" w:eastAsia="微软雅黑" w:cs="微软雅黑"/>
                <w:bCs/>
                <w:color w:val="000000"/>
                <w:lang w:eastAsia="zh-CN"/>
              </w:rPr>
              <w:drawing>
                <wp:anchor distT="0" distB="0" distL="114300" distR="114300" simplePos="0" relativeHeight="251658240" behindDoc="1" locked="0" layoutInCell="1" allowOverlap="1">
                  <wp:simplePos x="0" y="0"/>
                  <wp:positionH relativeFrom="column">
                    <wp:posOffset>-39370</wp:posOffset>
                  </wp:positionH>
                  <wp:positionV relativeFrom="paragraph">
                    <wp:posOffset>80645</wp:posOffset>
                  </wp:positionV>
                  <wp:extent cx="2971165" cy="1593850"/>
                  <wp:effectExtent l="0" t="0" r="0" b="0"/>
                  <wp:wrapTight wrapText="bothSides">
                    <wp:wrapPolygon>
                      <wp:start x="0" y="0"/>
                      <wp:lineTo x="0" y="21428"/>
                      <wp:lineTo x="21466" y="21428"/>
                      <wp:lineTo x="21466" y="0"/>
                      <wp:lineTo x="0" y="0"/>
                    </wp:wrapPolygon>
                  </wp:wrapTight>
                  <wp:docPr id="1" name="图片 1" descr="wKgEaVzDC1KAXKzbAAngsZdSeN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KgEaVzDC1KAXKzbAAngsZdSeN017"/>
                          <pic:cNvPicPr>
                            <a:picLocks noChangeAspect="1"/>
                          </pic:cNvPicPr>
                        </pic:nvPicPr>
                        <pic:blipFill>
                          <a:blip r:embed="rId6"/>
                          <a:stretch>
                            <a:fillRect/>
                          </a:stretch>
                        </pic:blipFill>
                        <pic:spPr>
                          <a:xfrm>
                            <a:off x="0" y="0"/>
                            <a:ext cx="2971165" cy="1593850"/>
                          </a:xfrm>
                          <a:prstGeom prst="rect">
                            <a:avLst/>
                          </a:prstGeom>
                        </pic:spPr>
                      </pic:pic>
                    </a:graphicData>
                  </a:graphic>
                </wp:anchor>
              </w:drawing>
            </w:r>
            <w:r>
              <w:rPr>
                <w:rFonts w:hint="eastAsia" w:ascii="宋体" w:hAnsi="宋体" w:eastAsia="宋体" w:cs="宋体"/>
                <w:b/>
                <w:color w:val="558ED5" w:themeColor="text2" w:themeTint="99"/>
                <w:sz w:val="28"/>
                <w:szCs w:val="28"/>
                <w:lang w:eastAsia="zh-CN"/>
                <w14:textFill>
                  <w14:solidFill>
                    <w14:schemeClr w14:val="tx2">
                      <w14:lumMod w14:val="60000"/>
                      <w14:lumOff w14:val="40000"/>
                    </w14:schemeClr>
                  </w14:solidFill>
                </w14:textFill>
              </w:rPr>
              <w:t>昆明</w:t>
            </w:r>
            <w:r>
              <w:rPr>
                <w:rFonts w:hint="eastAsia" w:ascii="宋体" w:hAnsi="宋体" w:eastAsia="宋体" w:cs="宋体"/>
                <w:b/>
                <w:color w:val="558ED5" w:themeColor="text2" w:themeTint="99"/>
                <w:sz w:val="28"/>
                <w:szCs w:val="28"/>
                <w:lang w:val="en-US" w:eastAsia="zh-CN"/>
                <w14:textFill>
                  <w14:solidFill>
                    <w14:schemeClr w14:val="tx2">
                      <w14:lumMod w14:val="60000"/>
                      <w14:lumOff w14:val="40000"/>
                    </w14:schemeClr>
                  </w14:solidFill>
                </w14:textFill>
              </w:rPr>
              <w:t>-南昌-东林大佛</w:t>
            </w:r>
          </w:p>
          <w:p>
            <w:pPr>
              <w:spacing w:line="440" w:lineRule="exact"/>
              <w:rPr>
                <w:rFonts w:hint="eastAsia" w:ascii="宋体" w:hAnsi="宋体" w:eastAsia="宋体" w:cs="宋体"/>
                <w:sz w:val="21"/>
                <w:szCs w:val="21"/>
                <w:lang w:val="en-US" w:eastAsia="zh-CN"/>
              </w:rPr>
            </w:pPr>
            <w:r>
              <w:rPr>
                <w:rFonts w:hint="eastAsia" w:ascii="微软雅黑" w:hAnsi="微软雅黑" w:eastAsia="微软雅黑" w:cs="微软雅黑"/>
                <w:bCs/>
                <w:color w:val="000000"/>
                <w:lang w:eastAsia="zh-CN"/>
              </w:rPr>
              <w:t>昆明出发赴江西南昌，导游在机场热情接机，后</w:t>
            </w:r>
            <w:r>
              <w:rPr>
                <w:rFonts w:hint="eastAsia" w:ascii="微软雅黑" w:hAnsi="微软雅黑" w:eastAsia="微软雅黑" w:cs="微软雅黑"/>
                <w:kern w:val="2"/>
              </w:rPr>
              <w:t>游览</w:t>
            </w:r>
            <w:r>
              <w:rPr>
                <w:rFonts w:hint="eastAsia" w:ascii="微软雅黑" w:hAnsi="微软雅黑" w:eastAsia="微软雅黑" w:cs="微软雅黑"/>
                <w:b/>
                <w:bCs/>
                <w:color w:val="C00000"/>
                <w:kern w:val="2"/>
              </w:rPr>
              <w:t>【东林大佛】</w:t>
            </w:r>
            <w:r>
              <w:rPr>
                <w:rFonts w:hint="eastAsia" w:ascii="微软雅黑" w:hAnsi="微软雅黑" w:eastAsia="微软雅黑" w:cs="微软雅黑"/>
                <w:kern w:val="2"/>
                <w:u w:val="single"/>
                <w:lang w:eastAsia="zh-CN"/>
              </w:rPr>
              <w:t>（赠送）</w:t>
            </w:r>
            <w:r>
              <w:rPr>
                <w:rFonts w:hint="eastAsia" w:ascii="微软雅黑" w:hAnsi="微软雅黑" w:eastAsia="微软雅黑" w:cs="微软雅黑"/>
                <w:kern w:val="2"/>
              </w:rPr>
              <w:t>—东林大佛位于庐山山麓，北依庐山主峰，群山环抱，山水相连，弥陀坛城，净宗道场，朝圣胜地，世外桃源，是一方集朝圣、修行、弘法、教育、慈善、安养为一体的净土。以四十八米阿弥陀佛接引铜像为核心，唐代建筑风格的建筑群沿着中轴线布置，呈现出中国古代圣山建筑群的经典建筑空间组织形式，将中轴线的主要建筑依序展开，建筑空间开合有致，起伏跌宕。佛像坐落在半空之中，登山阶梯时平时起，间有虹桥飞跨，平台远眺，形成一个视野开合，高度起伏，张弛有序的礼佛拜佛空间序列，使阿弥陀佛的神秘、慈悲、庄严渐次展现在信众面前。东林大佛项目。总投资约10亿元，动用48公斤黄金为大佛镀金。2013年5月，世界最高阿弥陀佛铜像东林大佛基本建成。</w:t>
            </w:r>
            <w:r>
              <w:rPr>
                <w:rFonts w:hint="eastAsia" w:ascii="微软雅黑" w:hAnsi="微软雅黑" w:eastAsia="微软雅黑" w:cs="微软雅黑"/>
                <w:bCs/>
                <w:color w:val="000000"/>
                <w:lang w:eastAsia="zh-CN"/>
              </w:rPr>
              <w:t xml:space="preserve">                                                                        </w:t>
            </w:r>
          </w:p>
        </w:tc>
        <w:tc>
          <w:tcPr>
            <w:tcW w:w="855" w:type="dxa"/>
            <w:vAlign w:val="center"/>
          </w:tcPr>
          <w:p>
            <w:pPr>
              <w:spacing w:line="440" w:lineRule="exact"/>
              <w:rPr>
                <w:rFonts w:hint="default" w:ascii="宋体" w:hAnsi="宋体" w:eastAsia="宋体" w:cs="宋体"/>
                <w:b w:val="0"/>
                <w:bCs/>
                <w:color w:val="000000"/>
                <w:sz w:val="21"/>
                <w:szCs w:val="21"/>
                <w:lang w:val="en-US" w:eastAsia="zh-CN"/>
              </w:rPr>
            </w:pPr>
            <w:r>
              <w:rPr>
                <w:rFonts w:hint="eastAsia" w:ascii="微软雅黑" w:hAnsi="微软雅黑" w:eastAsia="微软雅黑" w:cs="微软雅黑"/>
                <w:bCs/>
                <w:color w:val="000000"/>
                <w:lang w:val="en-US" w:eastAsia="zh-CN"/>
              </w:rPr>
              <w:t>//晚</w:t>
            </w:r>
          </w:p>
        </w:tc>
        <w:tc>
          <w:tcPr>
            <w:tcW w:w="1140" w:type="dxa"/>
            <w:vAlign w:val="center"/>
          </w:tcPr>
          <w:p>
            <w:pPr>
              <w:spacing w:line="440" w:lineRule="exact"/>
              <w:rPr>
                <w:rFonts w:hint="eastAsia" w:ascii="宋体" w:hAnsi="宋体" w:eastAsia="宋体" w:cs="宋体"/>
                <w:b w:val="0"/>
                <w:bCs/>
                <w:color w:val="000000"/>
                <w:sz w:val="21"/>
                <w:szCs w:val="21"/>
                <w:lang w:val="en-US" w:eastAsia="zh-CN"/>
              </w:rPr>
            </w:pPr>
            <w:r>
              <w:rPr>
                <w:rFonts w:hint="eastAsia" w:ascii="微软雅黑" w:hAnsi="微软雅黑" w:eastAsia="微软雅黑" w:cs="微软雅黑"/>
                <w:color w:val="000000"/>
                <w:lang w:val="en-US" w:eastAsia="zh-CN"/>
              </w:rPr>
              <w:t>九江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709" w:type="dxa"/>
            <w:vAlign w:val="center"/>
          </w:tcPr>
          <w:p>
            <w:pPr>
              <w:spacing w:line="440" w:lineRule="exact"/>
              <w:jc w:val="center"/>
              <w:rPr>
                <w:rFonts w:hint="eastAsia" w:ascii="宋体" w:hAnsi="宋体" w:eastAsia="宋体" w:cs="宋体"/>
                <w:b/>
                <w:color w:val="000000"/>
                <w:sz w:val="21"/>
                <w:szCs w:val="21"/>
                <w:lang w:eastAsia="zh-CN"/>
              </w:rPr>
            </w:pPr>
            <w:r>
              <w:rPr>
                <w:rFonts w:hint="eastAsia" w:ascii="微软雅黑" w:hAnsi="微软雅黑" w:eastAsia="微软雅黑" w:cs="微软雅黑"/>
                <w:b/>
                <w:color w:val="000000"/>
                <w:lang w:val="en-US" w:eastAsia="zh-CN"/>
              </w:rPr>
              <w:t>D2</w:t>
            </w:r>
          </w:p>
        </w:tc>
        <w:tc>
          <w:tcPr>
            <w:tcW w:w="7796" w:type="dxa"/>
            <w:gridSpan w:val="2"/>
            <w:vAlign w:val="center"/>
          </w:tcPr>
          <w:p>
            <w:pPr>
              <w:spacing w:line="440" w:lineRule="exact"/>
              <w:jc w:val="both"/>
              <w:rPr>
                <w:rFonts w:hint="eastAsia" w:ascii="宋体" w:hAnsi="宋体" w:eastAsia="宋体" w:cs="宋体"/>
                <w:b/>
                <w:color w:val="558ED5" w:themeColor="text2" w:themeTint="99"/>
                <w:sz w:val="28"/>
                <w:szCs w:val="28"/>
                <w:lang w:val="en-US" w:eastAsia="zh-CN"/>
                <w14:textFill>
                  <w14:solidFill>
                    <w14:schemeClr w14:val="tx2">
                      <w14:lumMod w14:val="60000"/>
                      <w14:lumOff w14:val="40000"/>
                    </w14:schemeClr>
                  </w14:solidFill>
                </w14:textFill>
              </w:rPr>
            </w:pPr>
            <w:r>
              <w:rPr>
                <w:rFonts w:hint="eastAsia" w:ascii="宋体" w:hAnsi="宋体" w:eastAsia="宋体" w:cs="宋体"/>
                <w:b/>
                <w:color w:val="558ED5" w:themeColor="text2" w:themeTint="99"/>
                <w:sz w:val="28"/>
                <w:szCs w:val="28"/>
                <w:lang w:eastAsia="zh-CN"/>
                <w14:textFill>
                  <w14:solidFill>
                    <w14:schemeClr w14:val="tx2">
                      <w14:lumMod w14:val="60000"/>
                      <w14:lumOff w14:val="40000"/>
                    </w14:schemeClr>
                  </w14:solidFill>
                </w14:textFill>
              </w:rPr>
              <w:t>景德镇</w:t>
            </w:r>
            <w:r>
              <w:rPr>
                <w:rFonts w:hint="eastAsia" w:ascii="宋体" w:hAnsi="宋体" w:eastAsia="宋体" w:cs="宋体"/>
                <w:b/>
                <w:color w:val="558ED5" w:themeColor="text2" w:themeTint="99"/>
                <w:sz w:val="28"/>
                <w:szCs w:val="28"/>
                <w:lang w:val="en-US" w:eastAsia="zh-CN"/>
                <w14:textFill>
                  <w14:solidFill>
                    <w14:schemeClr w14:val="tx2">
                      <w14:lumMod w14:val="60000"/>
                      <w14:lumOff w14:val="40000"/>
                    </w14:schemeClr>
                  </w14:solidFill>
                </w14:textFill>
              </w:rPr>
              <w:t>-婺源源头古村</w:t>
            </w:r>
          </w:p>
          <w:p>
            <w:pPr>
              <w:spacing w:line="440" w:lineRule="exact"/>
              <w:jc w:val="both"/>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rPr>
              <w:drawing>
                <wp:anchor distT="0" distB="0" distL="114300" distR="114300" simplePos="0" relativeHeight="251660288" behindDoc="1" locked="0" layoutInCell="1" allowOverlap="1">
                  <wp:simplePos x="0" y="0"/>
                  <wp:positionH relativeFrom="column">
                    <wp:posOffset>2870200</wp:posOffset>
                  </wp:positionH>
                  <wp:positionV relativeFrom="paragraph">
                    <wp:posOffset>1990090</wp:posOffset>
                  </wp:positionV>
                  <wp:extent cx="1997075" cy="1302385"/>
                  <wp:effectExtent l="0" t="0" r="3175" b="12065"/>
                  <wp:wrapTight wrapText="bothSides">
                    <wp:wrapPolygon>
                      <wp:start x="0" y="0"/>
                      <wp:lineTo x="0" y="21168"/>
                      <wp:lineTo x="21428" y="21168"/>
                      <wp:lineTo x="21428" y="0"/>
                      <wp:lineTo x="0" y="0"/>
                    </wp:wrapPolygon>
                  </wp:wrapTight>
                  <wp:docPr id="3" name="图片 3" descr="wKgB4lJw9m2AIbs3AAoJ6zbjZsM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KgB4lJw9m2AIbs3AAoJ6zbjZsM05"/>
                          <pic:cNvPicPr>
                            <a:picLocks noChangeAspect="1"/>
                          </pic:cNvPicPr>
                        </pic:nvPicPr>
                        <pic:blipFill>
                          <a:blip r:embed="rId7"/>
                          <a:stretch>
                            <a:fillRect/>
                          </a:stretch>
                        </pic:blipFill>
                        <pic:spPr>
                          <a:xfrm>
                            <a:off x="0" y="0"/>
                            <a:ext cx="1997075" cy="1302385"/>
                          </a:xfrm>
                          <a:prstGeom prst="rect">
                            <a:avLst/>
                          </a:prstGeom>
                        </pic:spPr>
                      </pic:pic>
                    </a:graphicData>
                  </a:graphic>
                </wp:anchor>
              </w:drawing>
            </w:r>
            <w:r>
              <w:rPr>
                <w:rFonts w:hint="eastAsia" w:ascii="微软雅黑" w:hAnsi="微软雅黑" w:eastAsia="微软雅黑" w:cs="微软雅黑"/>
                <w:bCs/>
                <w:color w:val="000000"/>
                <w:lang w:val="en-US" w:eastAsia="zh-CN"/>
              </w:rPr>
              <w:drawing>
                <wp:anchor distT="0" distB="0" distL="114300" distR="114300" simplePos="0" relativeHeight="251659264" behindDoc="1" locked="0" layoutInCell="1" allowOverlap="1">
                  <wp:simplePos x="0" y="0"/>
                  <wp:positionH relativeFrom="column">
                    <wp:posOffset>0</wp:posOffset>
                  </wp:positionH>
                  <wp:positionV relativeFrom="paragraph">
                    <wp:posOffset>-2919730</wp:posOffset>
                  </wp:positionV>
                  <wp:extent cx="2240915" cy="1461770"/>
                  <wp:effectExtent l="0" t="0" r="45085" b="43180"/>
                  <wp:wrapTight wrapText="bothSides">
                    <wp:wrapPolygon>
                      <wp:start x="0" y="0"/>
                      <wp:lineTo x="0" y="21394"/>
                      <wp:lineTo x="21484" y="21394"/>
                      <wp:lineTo x="21484" y="0"/>
                      <wp:lineTo x="0" y="0"/>
                    </wp:wrapPolygon>
                  </wp:wrapTight>
                  <wp:docPr id="2" name="图片 2" descr="wKgBEFsUlieARKfnAAHk_5BspRI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KgBEFsUlieARKfnAAHk_5BspRI18"/>
                          <pic:cNvPicPr>
                            <a:picLocks noChangeAspect="1"/>
                          </pic:cNvPicPr>
                        </pic:nvPicPr>
                        <pic:blipFill>
                          <a:blip r:embed="rId8"/>
                          <a:stretch>
                            <a:fillRect/>
                          </a:stretch>
                        </pic:blipFill>
                        <pic:spPr>
                          <a:xfrm>
                            <a:off x="0" y="0"/>
                            <a:ext cx="2240915" cy="1461770"/>
                          </a:xfrm>
                          <a:prstGeom prst="rect">
                            <a:avLst/>
                          </a:prstGeom>
                        </pic:spPr>
                      </pic:pic>
                    </a:graphicData>
                  </a:graphic>
                </wp:anchor>
              </w:drawing>
            </w:r>
            <w:r>
              <w:rPr>
                <w:rFonts w:hint="eastAsia" w:ascii="微软雅黑" w:hAnsi="微软雅黑" w:eastAsia="微软雅黑" w:cs="微软雅黑"/>
                <w:bCs/>
                <w:color w:val="000000"/>
                <w:lang w:val="en-US" w:eastAsia="zh-CN"/>
              </w:rPr>
              <w:t>游览烟水江南、溪水人家</w:t>
            </w:r>
            <w:r>
              <w:rPr>
                <w:rFonts w:hint="eastAsia" w:ascii="微软雅黑" w:hAnsi="微软雅黑" w:eastAsia="微软雅黑" w:cs="微软雅黑"/>
                <w:b/>
                <w:color w:val="C00000"/>
                <w:lang w:val="en-US" w:eastAsia="zh-CN"/>
              </w:rPr>
              <w:t>【源头古村】</w:t>
            </w:r>
            <w:r>
              <w:rPr>
                <w:rFonts w:hint="eastAsia" w:ascii="微软雅黑" w:hAnsi="微软雅黑" w:eastAsia="微软雅黑" w:cs="微软雅黑"/>
                <w:bCs/>
                <w:lang w:val="en-US" w:eastAsia="zh-CN"/>
              </w:rPr>
              <w:t>（赠送）</w:t>
            </w:r>
            <w:r>
              <w:rPr>
                <w:rFonts w:hint="eastAsia" w:ascii="微软雅黑" w:hAnsi="微软雅黑" w:eastAsia="微软雅黑" w:cs="微软雅黑"/>
                <w:bCs/>
                <w:color w:val="000000"/>
                <w:lang w:val="en-US" w:eastAsia="zh-CN"/>
              </w:rPr>
              <w:t>“半亩方塘一鉴开，天光云影共 徘徊。问渠那得清如许，为有源头活水来。源头风景区座落在婺源县赋春镇源头村距今 700 多年，源头也可以说是一个浓缩版的婺源，金黄的油菜花田，文化底蕴深厚的探源书屋， 古朴典雅的窥月茶楼，悠长的小道等，多的是一份宁静，悠闲自得，这里符合您关于烟雨 江南，小桥流水人家的所有想象，景区内保存着大片的阔叶林和竹林。赴千年瓷都</w:t>
            </w:r>
            <w:r>
              <w:rPr>
                <w:rFonts w:hint="eastAsia" w:ascii="微软雅黑" w:hAnsi="微软雅黑" w:eastAsia="微软雅黑" w:cs="微软雅黑"/>
                <w:b/>
                <w:color w:val="C00000"/>
                <w:lang w:val="en-US" w:eastAsia="zh-CN"/>
              </w:rPr>
              <w:t>【景德镇】</w:t>
            </w:r>
            <w:r>
              <w:rPr>
                <w:rFonts w:hint="eastAsia" w:ascii="微软雅黑" w:hAnsi="微软雅黑" w:eastAsia="微软雅黑" w:cs="微软雅黑"/>
                <w:bCs/>
                <w:color w:val="000000"/>
                <w:lang w:val="en-US" w:eastAsia="zh-CN"/>
              </w:rPr>
              <w:t>参观官窑（富玉或丝绸之路）“官窑”文化精髓的浓缩，传统陶瓷技艺身临其 境的感受，给您带来视觉的冲击；同时必将带给您带来一次难忘的，不一样的“官窑” 文化之旅，欣赏景德镇最正宗的瓷器，购置琳琅满目的精品陶瓷，饱览扬名世界的“白 如玉、薄如纸、明如镜、声如磬”的景德镇瓷器，体验景德镇陶瓷文化探索之旅，在 镇窑里，还可以看到神奇的松柴烧瓷技艺，自由选购景德镇精美瓷器。</w:t>
            </w:r>
            <w:r>
              <w:rPr>
                <w:rFonts w:hint="eastAsia" w:ascii="微软雅黑" w:hAnsi="微软雅黑" w:eastAsia="微软雅黑" w:cs="微软雅黑"/>
                <w:bCs/>
                <w:color w:val="000000"/>
                <w:sz w:val="22"/>
                <w:szCs w:val="22"/>
                <w:lang w:val="en-US" w:eastAsia="zh-CN"/>
              </w:rPr>
              <w:t xml:space="preserve"> </w:t>
            </w:r>
          </w:p>
        </w:tc>
        <w:tc>
          <w:tcPr>
            <w:tcW w:w="855" w:type="dxa"/>
            <w:vAlign w:val="center"/>
          </w:tcPr>
          <w:p>
            <w:pPr>
              <w:spacing w:line="440" w:lineRule="exact"/>
              <w:jc w:val="both"/>
              <w:rPr>
                <w:rFonts w:hint="eastAsia" w:ascii="宋体" w:hAnsi="宋体" w:eastAsia="微软雅黑" w:cs="宋体"/>
                <w:sz w:val="21"/>
                <w:szCs w:val="21"/>
                <w:lang w:val="en-US" w:eastAsia="zh-CN"/>
              </w:rPr>
            </w:pPr>
            <w:r>
              <w:rPr>
                <w:rFonts w:hint="eastAsia" w:ascii="微软雅黑" w:hAnsi="微软雅黑" w:eastAsia="微软雅黑" w:cs="微软雅黑"/>
                <w:kern w:val="2"/>
              </w:rPr>
              <w:t>早/</w:t>
            </w:r>
            <w:r>
              <w:rPr>
                <w:rFonts w:hint="eastAsia" w:ascii="微软雅黑" w:hAnsi="微软雅黑" w:eastAsia="微软雅黑" w:cs="微软雅黑"/>
                <w:kern w:val="2"/>
                <w:lang w:eastAsia="zh-CN"/>
              </w:rPr>
              <w:t>晚</w:t>
            </w:r>
          </w:p>
        </w:tc>
        <w:tc>
          <w:tcPr>
            <w:tcW w:w="1140" w:type="dxa"/>
            <w:vAlign w:val="center"/>
          </w:tcPr>
          <w:p>
            <w:pPr>
              <w:spacing w:line="440" w:lineRule="exact"/>
              <w:jc w:val="both"/>
              <w:rPr>
                <w:rFonts w:hint="eastAsia" w:ascii="宋体" w:hAnsi="宋体" w:eastAsia="宋体" w:cs="宋体"/>
                <w:sz w:val="21"/>
                <w:szCs w:val="21"/>
                <w:lang w:val="en-US" w:eastAsia="zh-CN"/>
              </w:rPr>
            </w:pPr>
            <w:r>
              <w:rPr>
                <w:rFonts w:hint="eastAsia" w:ascii="微软雅黑" w:hAnsi="微软雅黑" w:eastAsia="微软雅黑" w:cs="微软雅黑"/>
                <w:kern w:val="2"/>
                <w:lang w:eastAsia="zh-CN"/>
              </w:rPr>
              <w:t>婺源</w:t>
            </w:r>
            <w:r>
              <w:rPr>
                <w:rFonts w:hint="eastAsia" w:ascii="微软雅黑" w:hAnsi="微软雅黑" w:eastAsia="微软雅黑" w:cs="微软雅黑"/>
                <w:kern w:val="2"/>
                <w:lang w:val="en-US" w:eastAsia="zh-CN"/>
              </w:rPr>
              <w:t>/上饶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2" w:hRule="atLeast"/>
        </w:trPr>
        <w:tc>
          <w:tcPr>
            <w:tcW w:w="709" w:type="dxa"/>
            <w:vAlign w:val="center"/>
          </w:tcPr>
          <w:p>
            <w:pPr>
              <w:spacing w:line="440" w:lineRule="exact"/>
              <w:jc w:val="center"/>
              <w:rPr>
                <w:rFonts w:hint="eastAsia" w:ascii="宋体" w:hAnsi="宋体" w:eastAsia="宋体" w:cs="宋体"/>
                <w:b/>
                <w:color w:val="000000"/>
                <w:sz w:val="21"/>
                <w:szCs w:val="21"/>
                <w:lang w:eastAsia="zh-CN"/>
              </w:rPr>
            </w:pPr>
            <w:r>
              <w:rPr>
                <w:rFonts w:hint="eastAsia" w:ascii="微软雅黑" w:hAnsi="微软雅黑" w:eastAsia="微软雅黑" w:cs="微软雅黑"/>
                <w:b/>
                <w:color w:val="000000"/>
                <w:lang w:val="en-US" w:eastAsia="zh-CN"/>
              </w:rPr>
              <w:t>D3</w:t>
            </w:r>
          </w:p>
        </w:tc>
        <w:tc>
          <w:tcPr>
            <w:tcW w:w="7796" w:type="dxa"/>
            <w:gridSpan w:val="2"/>
            <w:vAlign w:val="center"/>
          </w:tcPr>
          <w:p>
            <w:pPr>
              <w:spacing w:line="440" w:lineRule="exact"/>
              <w:jc w:val="both"/>
              <w:rPr>
                <w:rFonts w:hint="eastAsia" w:ascii="宋体" w:hAnsi="宋体" w:eastAsia="宋体" w:cs="宋体"/>
                <w:b/>
                <w:color w:val="558ED5" w:themeColor="text2" w:themeTint="99"/>
                <w:sz w:val="28"/>
                <w:szCs w:val="28"/>
                <w:lang w:val="en-US" w:eastAsia="zh-CN"/>
                <w14:textFill>
                  <w14:solidFill>
                    <w14:schemeClr w14:val="tx2">
                      <w14:lumMod w14:val="60000"/>
                      <w14:lumOff w14:val="40000"/>
                    </w14:schemeClr>
                  </w14:solidFill>
                </w14:textFill>
              </w:rPr>
            </w:pPr>
            <w:r>
              <w:rPr>
                <w:rFonts w:hint="eastAsia" w:ascii="宋体" w:hAnsi="宋体" w:eastAsia="宋体" w:cs="宋体"/>
                <w:b/>
                <w:color w:val="558ED5" w:themeColor="text2" w:themeTint="99"/>
                <w:sz w:val="28"/>
                <w:szCs w:val="28"/>
                <w:lang w:val="en-US" w:eastAsia="zh-CN"/>
                <w14:textFill>
                  <w14:solidFill>
                    <w14:schemeClr w14:val="tx2">
                      <w14:lumMod w14:val="60000"/>
                      <w14:lumOff w14:val="40000"/>
                    </w14:schemeClr>
                  </w14:solidFill>
                </w14:textFill>
              </w:rPr>
              <w:t>上饶集中营-龙虎山</w:t>
            </w:r>
          </w:p>
          <w:p>
            <w:pPr>
              <w:spacing w:line="240" w:lineRule="auto"/>
              <w:jc w:val="both"/>
              <w:rPr>
                <w:rFonts w:ascii="微软雅黑" w:hAnsi="微软雅黑" w:eastAsia="微软雅黑" w:cs="微软雅黑"/>
                <w:b/>
                <w:bCs/>
                <w:color w:val="C00000"/>
                <w:lang w:eastAsia="zh-CN"/>
              </w:rPr>
            </w:pPr>
            <w:r>
              <w:rPr>
                <w:rFonts w:hint="eastAsia" w:ascii="微软雅黑" w:hAnsi="微软雅黑" w:eastAsia="微软雅黑" w:cs="微软雅黑"/>
                <w:lang w:eastAsia="zh-CN"/>
              </w:rPr>
              <w:drawing>
                <wp:anchor distT="0" distB="0" distL="114300" distR="114300" simplePos="0" relativeHeight="251661312" behindDoc="1" locked="0" layoutInCell="1" allowOverlap="1">
                  <wp:simplePos x="0" y="0"/>
                  <wp:positionH relativeFrom="column">
                    <wp:posOffset>0</wp:posOffset>
                  </wp:positionH>
                  <wp:positionV relativeFrom="paragraph">
                    <wp:posOffset>91440</wp:posOffset>
                  </wp:positionV>
                  <wp:extent cx="2384425" cy="1278890"/>
                  <wp:effectExtent l="0" t="0" r="34925" b="54610"/>
                  <wp:wrapTight wrapText="bothSides">
                    <wp:wrapPolygon>
                      <wp:start x="0" y="0"/>
                      <wp:lineTo x="0" y="21235"/>
                      <wp:lineTo x="21399" y="21235"/>
                      <wp:lineTo x="21399" y="0"/>
                      <wp:lineTo x="0" y="0"/>
                    </wp:wrapPolygon>
                  </wp:wrapTight>
                  <wp:docPr id="4" name="图片 4" descr="wKgB4lItpYaAaZGeAANUY6LDujQ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KgB4lItpYaAaZGeAANUY6LDujQ34"/>
                          <pic:cNvPicPr>
                            <a:picLocks noChangeAspect="1"/>
                          </pic:cNvPicPr>
                        </pic:nvPicPr>
                        <pic:blipFill>
                          <a:blip r:embed="rId9"/>
                          <a:stretch>
                            <a:fillRect/>
                          </a:stretch>
                        </pic:blipFill>
                        <pic:spPr>
                          <a:xfrm>
                            <a:off x="0" y="0"/>
                            <a:ext cx="2384425" cy="1278890"/>
                          </a:xfrm>
                          <a:prstGeom prst="rect">
                            <a:avLst/>
                          </a:prstGeom>
                        </pic:spPr>
                      </pic:pic>
                    </a:graphicData>
                  </a:graphic>
                </wp:anchor>
              </w:drawing>
            </w:r>
            <w:r>
              <w:rPr>
                <w:rFonts w:hint="eastAsia" w:ascii="微软雅黑" w:hAnsi="微软雅黑" w:eastAsia="微软雅黑" w:cs="微软雅黑"/>
                <w:lang w:eastAsia="zh-CN"/>
              </w:rPr>
              <w:t>早餐后，游览</w:t>
            </w:r>
            <w:r>
              <w:rPr>
                <w:rFonts w:hint="eastAsia" w:ascii="微软雅黑" w:hAnsi="微软雅黑" w:eastAsia="微软雅黑" w:cs="微软雅黑"/>
                <w:b/>
                <w:bCs/>
                <w:color w:val="C00000"/>
                <w:lang w:eastAsia="zh-CN"/>
              </w:rPr>
              <w:t>【上饶集中营】</w:t>
            </w:r>
            <w:r>
              <w:rPr>
                <w:rFonts w:hint="eastAsia" w:ascii="微软雅黑" w:hAnsi="微软雅黑" w:eastAsia="微软雅黑" w:cs="微软雅黑"/>
                <w:lang w:eastAsia="zh-CN"/>
              </w:rPr>
              <w:t>---集中营闻名于世的上饶集中营，是“皖南事变”的历史产物。主要囚禁皖南事变中谈判被扣的新四军军长叶挺和弹尽粮 绝被俘的新四军排以上干部及爱国进步人士760余人。国家4A级旅游景区，另有同名电影（摄制于1950年）。（革命烈士陵园、革命烈士纪念馆、茅家岭监狱旧址（已含）、纪念亭、纪念碑等）。</w:t>
            </w:r>
          </w:p>
          <w:p>
            <w:pPr>
              <w:spacing w:line="440" w:lineRule="exact"/>
              <w:jc w:val="both"/>
              <w:rPr>
                <w:rFonts w:hint="eastAsia" w:ascii="宋体" w:hAnsi="宋体" w:eastAsia="微软雅黑" w:cs="宋体"/>
                <w:sz w:val="21"/>
                <w:szCs w:val="21"/>
                <w:lang w:eastAsia="zh-CN"/>
              </w:rPr>
            </w:pPr>
            <w:r>
              <w:rPr>
                <w:rFonts w:hint="eastAsia" w:ascii="宋体" w:hAnsi="宋体" w:eastAsia="微软雅黑" w:cs="宋体"/>
                <w:sz w:val="21"/>
                <w:szCs w:val="21"/>
                <w:lang w:eastAsia="zh-CN"/>
              </w:rPr>
              <w:drawing>
                <wp:anchor distT="0" distB="0" distL="114300" distR="114300" simplePos="0" relativeHeight="251662336" behindDoc="1" locked="0" layoutInCell="1" allowOverlap="1">
                  <wp:simplePos x="0" y="0"/>
                  <wp:positionH relativeFrom="column">
                    <wp:posOffset>2448560</wp:posOffset>
                  </wp:positionH>
                  <wp:positionV relativeFrom="paragraph">
                    <wp:posOffset>53975</wp:posOffset>
                  </wp:positionV>
                  <wp:extent cx="2351405" cy="1533525"/>
                  <wp:effectExtent l="0" t="0" r="48895" b="47625"/>
                  <wp:wrapTight wrapText="bothSides">
                    <wp:wrapPolygon>
                      <wp:start x="0" y="0"/>
                      <wp:lineTo x="0" y="21466"/>
                      <wp:lineTo x="21349" y="21466"/>
                      <wp:lineTo x="21349" y="0"/>
                      <wp:lineTo x="0" y="0"/>
                    </wp:wrapPolygon>
                  </wp:wrapTight>
                  <wp:docPr id="5" name="图片 5" descr="wKgBs12BiTWAXQf9AApXPK4K04g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wKgBs12BiTWAXQf9AApXPK4K04g22"/>
                          <pic:cNvPicPr>
                            <a:picLocks noChangeAspect="1"/>
                          </pic:cNvPicPr>
                        </pic:nvPicPr>
                        <pic:blipFill>
                          <a:blip r:embed="rId10"/>
                          <a:stretch>
                            <a:fillRect/>
                          </a:stretch>
                        </pic:blipFill>
                        <pic:spPr>
                          <a:xfrm>
                            <a:off x="0" y="0"/>
                            <a:ext cx="2351405" cy="1533525"/>
                          </a:xfrm>
                          <a:prstGeom prst="rect">
                            <a:avLst/>
                          </a:prstGeom>
                        </pic:spPr>
                      </pic:pic>
                    </a:graphicData>
                  </a:graphic>
                </wp:anchor>
              </w:drawing>
            </w:r>
            <w:r>
              <w:rPr>
                <w:rFonts w:hint="eastAsia" w:ascii="微软雅黑" w:hAnsi="微软雅黑" w:eastAsia="微软雅黑" w:cs="微软雅黑"/>
                <w:b/>
                <w:bCs/>
                <w:color w:val="C00000"/>
                <w:lang w:eastAsia="zh-CN"/>
              </w:rPr>
              <w:t>【</w:t>
            </w:r>
            <w:r>
              <w:rPr>
                <w:rFonts w:hint="eastAsia" w:ascii="微软雅黑" w:hAnsi="微软雅黑" w:eastAsia="微软雅黑" w:cs="微软雅黑"/>
                <w:b/>
                <w:bCs/>
                <w:color w:val="C00000"/>
              </w:rPr>
              <w:t>龙虎山</w:t>
            </w:r>
            <w:r>
              <w:rPr>
                <w:rFonts w:hint="eastAsia" w:ascii="微软雅黑" w:hAnsi="微软雅黑" w:eastAsia="微软雅黑" w:cs="微软雅黑"/>
                <w:b/>
                <w:bCs/>
                <w:color w:val="C00000"/>
                <w:lang w:eastAsia="zh-CN"/>
              </w:rPr>
              <w:t>】</w:t>
            </w:r>
            <w:r>
              <w:rPr>
                <w:rFonts w:hint="eastAsia" w:ascii="微软雅黑" w:hAnsi="微软雅黑" w:eastAsia="微软雅黑" w:cs="微软雅黑"/>
                <w:lang w:eastAsia="zh-CN"/>
              </w:rPr>
              <w:t>（门票赠送）</w:t>
            </w:r>
            <w:r>
              <w:rPr>
                <w:rFonts w:hint="eastAsia" w:ascii="微软雅黑" w:hAnsi="微软雅黑" w:eastAsia="微软雅黑" w:cs="微软雅黑"/>
              </w:rPr>
              <w:t>上清古镇；游中国道教第一府第--</w:t>
            </w:r>
            <w:r>
              <w:rPr>
                <w:rFonts w:hint="eastAsia" w:ascii="微软雅黑" w:hAnsi="微软雅黑" w:eastAsia="微软雅黑" w:cs="微软雅黑"/>
                <w:b/>
                <w:bCs/>
                <w:color w:val="C00000"/>
                <w:lang w:eastAsia="zh-CN"/>
              </w:rPr>
              <w:t>【</w:t>
            </w:r>
            <w:r>
              <w:rPr>
                <w:rFonts w:hint="eastAsia" w:ascii="微软雅黑" w:hAnsi="微软雅黑" w:eastAsia="微软雅黑" w:cs="微软雅黑"/>
                <w:b/>
                <w:bCs/>
                <w:color w:val="C00000"/>
              </w:rPr>
              <w:t>天师府</w:t>
            </w:r>
            <w:r>
              <w:rPr>
                <w:rFonts w:hint="eastAsia" w:ascii="微软雅黑" w:hAnsi="微软雅黑" w:eastAsia="微软雅黑" w:cs="微软雅黑"/>
                <w:b/>
                <w:bCs/>
                <w:color w:val="C00000"/>
                <w:lang w:eastAsia="zh-CN"/>
              </w:rPr>
              <w:t>】</w:t>
            </w:r>
            <w:r>
              <w:rPr>
                <w:rFonts w:hint="eastAsia" w:ascii="微软雅黑" w:hAnsi="微软雅黑" w:eastAsia="微软雅黑" w:cs="微软雅黑"/>
              </w:rPr>
              <w:t>（90分钟）【天师府是我国规模最大的道教建筑之一。天师府在规模上以及其历史价值、艺术价值，堪与曲阜孔府相比。】游览大上清宫（60分钟）</w:t>
            </w:r>
          </w:p>
        </w:tc>
        <w:tc>
          <w:tcPr>
            <w:tcW w:w="855" w:type="dxa"/>
            <w:vAlign w:val="center"/>
          </w:tcPr>
          <w:p>
            <w:pPr>
              <w:spacing w:line="440" w:lineRule="exact"/>
              <w:jc w:val="both"/>
              <w:rPr>
                <w:rFonts w:hint="eastAsia" w:ascii="宋体" w:hAnsi="宋体" w:eastAsia="宋体" w:cs="宋体"/>
                <w:sz w:val="21"/>
                <w:szCs w:val="21"/>
              </w:rPr>
            </w:pPr>
            <w:r>
              <w:rPr>
                <w:rFonts w:hint="eastAsia" w:ascii="微软雅黑" w:hAnsi="微软雅黑" w:eastAsia="微软雅黑" w:cs="微软雅黑"/>
                <w:kern w:val="2"/>
              </w:rPr>
              <w:t>早/晚</w:t>
            </w:r>
          </w:p>
        </w:tc>
        <w:tc>
          <w:tcPr>
            <w:tcW w:w="1140" w:type="dxa"/>
            <w:vAlign w:val="center"/>
          </w:tcPr>
          <w:p>
            <w:pPr>
              <w:spacing w:line="440" w:lineRule="exact"/>
              <w:jc w:val="both"/>
              <w:rPr>
                <w:rFonts w:hint="eastAsia" w:ascii="宋体" w:hAnsi="宋体" w:eastAsia="宋体" w:cs="宋体"/>
                <w:sz w:val="21"/>
                <w:szCs w:val="21"/>
                <w:lang w:val="en-US" w:eastAsia="zh-CN"/>
              </w:rPr>
            </w:pPr>
            <w:r>
              <w:rPr>
                <w:rFonts w:hint="eastAsia" w:ascii="微软雅黑" w:hAnsi="微软雅黑" w:eastAsia="微软雅黑" w:cs="微软雅黑"/>
                <w:kern w:val="2"/>
                <w:lang w:eastAsia="zh-CN"/>
              </w:rPr>
              <w:t>龙虎山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709" w:type="dxa"/>
            <w:vAlign w:val="center"/>
          </w:tcPr>
          <w:p>
            <w:pPr>
              <w:spacing w:line="440" w:lineRule="exact"/>
              <w:jc w:val="center"/>
              <w:rPr>
                <w:rFonts w:hint="eastAsia" w:ascii="宋体" w:hAnsi="宋体" w:eastAsia="宋体" w:cs="宋体"/>
                <w:b/>
                <w:color w:val="000000"/>
                <w:sz w:val="21"/>
                <w:szCs w:val="21"/>
                <w:lang w:eastAsia="zh-CN"/>
              </w:rPr>
            </w:pPr>
            <w:r>
              <w:rPr>
                <w:rFonts w:hint="eastAsia" w:ascii="微软雅黑" w:hAnsi="微软雅黑" w:eastAsia="微软雅黑" w:cs="微软雅黑"/>
                <w:b/>
                <w:color w:val="000000"/>
                <w:lang w:val="en-US" w:eastAsia="zh-CN"/>
              </w:rPr>
              <w:t>D4</w:t>
            </w:r>
          </w:p>
        </w:tc>
        <w:tc>
          <w:tcPr>
            <w:tcW w:w="7796" w:type="dxa"/>
            <w:gridSpan w:val="2"/>
            <w:vAlign w:val="center"/>
          </w:tcPr>
          <w:p>
            <w:pPr>
              <w:spacing w:line="440" w:lineRule="exact"/>
              <w:jc w:val="both"/>
              <w:rPr>
                <w:rFonts w:hint="eastAsia" w:ascii="宋体" w:hAnsi="宋体" w:eastAsia="宋体" w:cs="宋体"/>
                <w:b/>
                <w:color w:val="558ED5" w:themeColor="text2" w:themeTint="99"/>
                <w:sz w:val="28"/>
                <w:szCs w:val="28"/>
                <w:lang w:val="en-US" w:eastAsia="zh-CN"/>
                <w14:textFill>
                  <w14:solidFill>
                    <w14:schemeClr w14:val="tx2">
                      <w14:lumMod w14:val="60000"/>
                      <w14:lumOff w14:val="40000"/>
                    </w14:schemeClr>
                  </w14:solidFill>
                </w14:textFill>
              </w:rPr>
            </w:pPr>
            <w:r>
              <w:rPr>
                <w:rFonts w:hint="eastAsia" w:ascii="宋体" w:hAnsi="宋体" w:eastAsia="宋体" w:cs="宋体"/>
                <w:b/>
                <w:color w:val="558ED5" w:themeColor="text2" w:themeTint="99"/>
                <w:sz w:val="28"/>
                <w:szCs w:val="28"/>
                <w:lang w:val="en-US" w:eastAsia="zh-CN"/>
                <w14:textFill>
                  <w14:solidFill>
                    <w14:schemeClr w14:val="tx2">
                      <w14:lumMod w14:val="60000"/>
                      <w14:lumOff w14:val="40000"/>
                    </w14:schemeClr>
                  </w14:solidFill>
                </w14:textFill>
              </w:rPr>
              <w:t>龙虎山风景区</w:t>
            </w:r>
          </w:p>
          <w:p>
            <w:pPr>
              <w:spacing w:line="440" w:lineRule="exact"/>
              <w:rPr>
                <w:rFonts w:hint="eastAsia" w:ascii="宋体" w:hAnsi="宋体" w:eastAsia="宋体" w:cs="宋体"/>
                <w:sz w:val="21"/>
                <w:szCs w:val="21"/>
                <w:lang w:val="en-US" w:eastAsia="zh-CN"/>
              </w:rPr>
            </w:pPr>
            <w:r>
              <w:rPr>
                <w:rFonts w:hint="eastAsia" w:ascii="宋体" w:hAnsi="宋体" w:eastAsia="宋体" w:cs="宋体"/>
                <w:b/>
                <w:color w:val="558ED5" w:themeColor="text2" w:themeTint="99"/>
                <w:sz w:val="28"/>
                <w:szCs w:val="28"/>
                <w:lang w:val="en-US" w:eastAsia="zh-CN"/>
                <w14:textFill>
                  <w14:solidFill>
                    <w14:schemeClr w14:val="tx2">
                      <w14:lumMod w14:val="60000"/>
                      <w14:lumOff w14:val="40000"/>
                    </w14:schemeClr>
                  </w14:solidFill>
                </w14:textFill>
              </w:rPr>
              <w:drawing>
                <wp:anchor distT="0" distB="0" distL="114300" distR="114300" simplePos="0" relativeHeight="251663360" behindDoc="1" locked="0" layoutInCell="1" allowOverlap="1">
                  <wp:simplePos x="0" y="0"/>
                  <wp:positionH relativeFrom="column">
                    <wp:posOffset>-31750</wp:posOffset>
                  </wp:positionH>
                  <wp:positionV relativeFrom="paragraph">
                    <wp:posOffset>982980</wp:posOffset>
                  </wp:positionV>
                  <wp:extent cx="2590800" cy="1725930"/>
                  <wp:effectExtent l="0" t="0" r="0" b="7620"/>
                  <wp:wrapTight wrapText="bothSides">
                    <wp:wrapPolygon>
                      <wp:start x="0" y="0"/>
                      <wp:lineTo x="0" y="21457"/>
                      <wp:lineTo x="21441" y="21457"/>
                      <wp:lineTo x="21441" y="0"/>
                      <wp:lineTo x="0" y="0"/>
                    </wp:wrapPolygon>
                  </wp:wrapTight>
                  <wp:docPr id="6" name="图片 6" descr="wKgBs1cLkyOAf9UoAAuhqQisnJI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wKgBs1cLkyOAf9UoAAuhqQisnJI18"/>
                          <pic:cNvPicPr>
                            <a:picLocks noChangeAspect="1"/>
                          </pic:cNvPicPr>
                        </pic:nvPicPr>
                        <pic:blipFill>
                          <a:blip r:embed="rId11"/>
                          <a:stretch>
                            <a:fillRect/>
                          </a:stretch>
                        </pic:blipFill>
                        <pic:spPr>
                          <a:xfrm>
                            <a:off x="0" y="0"/>
                            <a:ext cx="2590800" cy="1725930"/>
                          </a:xfrm>
                          <a:prstGeom prst="rect">
                            <a:avLst/>
                          </a:prstGeom>
                        </pic:spPr>
                      </pic:pic>
                    </a:graphicData>
                  </a:graphic>
                </wp:anchor>
              </w:drawing>
            </w:r>
            <w:r>
              <w:rPr>
                <w:rFonts w:hint="eastAsia" w:ascii="微软雅黑" w:hAnsi="微软雅黑" w:eastAsia="微软雅黑" w:cs="微软雅黑"/>
              </w:rPr>
              <w:t>游览</w:t>
            </w:r>
            <w:r>
              <w:rPr>
                <w:rFonts w:hint="eastAsia" w:ascii="微软雅黑" w:hAnsi="微软雅黑" w:eastAsia="微软雅黑" w:cs="微软雅黑"/>
                <w:b/>
                <w:bCs/>
                <w:color w:val="C00000"/>
              </w:rPr>
              <w:t>【龙虎山】</w:t>
            </w:r>
            <w:r>
              <w:rPr>
                <w:rFonts w:hint="eastAsia" w:ascii="微软雅黑" w:hAnsi="微软雅黑" w:eastAsia="微软雅黑" w:cs="微软雅黑"/>
                <w:u w:val="single"/>
                <w:lang w:eastAsia="zh-CN"/>
              </w:rPr>
              <w:t>（门票</w:t>
            </w:r>
            <w:r>
              <w:rPr>
                <w:rFonts w:hint="eastAsia" w:ascii="微软雅黑" w:hAnsi="微软雅黑" w:eastAsia="微软雅黑" w:cs="微软雅黑"/>
                <w:u w:val="single"/>
                <w:lang w:val="en-US" w:eastAsia="zh-CN"/>
              </w:rPr>
              <w:t>+</w:t>
            </w:r>
            <w:r>
              <w:rPr>
                <w:rFonts w:hint="eastAsia" w:ascii="微软雅黑" w:hAnsi="微软雅黑" w:eastAsia="微软雅黑" w:cs="微软雅黑"/>
                <w:u w:val="single"/>
              </w:rPr>
              <w:t>竹筏+观光车）</w:t>
            </w:r>
            <w:r>
              <w:rPr>
                <w:rFonts w:hint="eastAsia" w:ascii="微软雅黑" w:hAnsi="微软雅黑" w:eastAsia="微软雅黑" w:cs="微软雅黑"/>
                <w:u w:val="single"/>
                <w:lang w:eastAsia="zh-CN"/>
              </w:rPr>
              <w:t>赠送</w:t>
            </w:r>
            <w:r>
              <w:rPr>
                <w:rFonts w:hint="eastAsia" w:ascii="微软雅黑" w:hAnsi="微软雅黑" w:eastAsia="微软雅黑" w:cs="微软雅黑"/>
                <w:lang w:eastAsia="zh-CN"/>
              </w:rPr>
              <w:t>。</w:t>
            </w:r>
            <w:r>
              <w:rPr>
                <w:rFonts w:hint="eastAsia" w:ascii="微软雅黑" w:hAnsi="微软雅黑" w:eastAsia="微软雅黑" w:cs="微软雅黑"/>
              </w:rPr>
              <w:t>龙虎山属丹霞地貌。其丹山碧水、林疏谷宽、残余峰丛沿河林立，展现出一幅徇丽多彩的山水画卷。同时它也是中国道教发祥地，被誉为“道教第一山”--龙虎山；参观</w:t>
            </w:r>
            <w:r>
              <w:rPr>
                <w:rFonts w:hint="eastAsia" w:ascii="微软雅黑" w:hAnsi="微软雅黑" w:eastAsia="微软雅黑" w:cs="微软雅黑"/>
                <w:b/>
                <w:bCs/>
                <w:color w:val="C00000"/>
              </w:rPr>
              <w:t>【中国道教博物馆】</w:t>
            </w:r>
            <w:r>
              <w:rPr>
                <w:rFonts w:hint="eastAsia" w:ascii="微软雅黑" w:hAnsi="微软雅黑" w:eastAsia="微软雅黑" w:cs="微软雅黑"/>
              </w:rPr>
              <w:t>、</w:t>
            </w:r>
            <w:r>
              <w:rPr>
                <w:rFonts w:hint="eastAsia" w:ascii="微软雅黑" w:hAnsi="微软雅黑" w:eastAsia="微软雅黑" w:cs="微软雅黑"/>
                <w:b/>
                <w:bCs/>
                <w:color w:val="C00000"/>
              </w:rPr>
              <w:t>【地质博物馆】</w:t>
            </w:r>
            <w:r>
              <w:rPr>
                <w:rFonts w:hint="eastAsia" w:ascii="微软雅黑" w:hAnsi="微软雅黑" w:eastAsia="微软雅黑" w:cs="微软雅黑"/>
              </w:rPr>
              <w:t>。游览</w:t>
            </w:r>
            <w:r>
              <w:rPr>
                <w:rFonts w:hint="eastAsia" w:ascii="微软雅黑" w:hAnsi="微软雅黑" w:eastAsia="微软雅黑" w:cs="微软雅黑"/>
                <w:b/>
                <w:bCs/>
                <w:color w:val="C00000"/>
              </w:rPr>
              <w:t>【仙水岩景区】</w:t>
            </w:r>
            <w:r>
              <w:rPr>
                <w:rFonts w:hint="eastAsia" w:ascii="微软雅黑" w:hAnsi="微软雅黑" w:eastAsia="微软雅黑" w:cs="微软雅黑"/>
              </w:rPr>
              <w:t>竹筏漂流+仿古升棺表演；（全程约2-3小时，观光车、竹筏及表演均可能需要排队等待）；乘【龙虎山竹筏漂流】，观看千古一绝，惊险刺激的“</w:t>
            </w:r>
            <w:r>
              <w:rPr>
                <w:rFonts w:hint="eastAsia" w:ascii="微软雅黑" w:hAnsi="微软雅黑" w:eastAsia="微软雅黑" w:cs="微软雅黑"/>
                <w:b/>
                <w:bCs/>
                <w:color w:val="C00000"/>
              </w:rPr>
              <w:t>【仿古升棺表演】</w:t>
            </w:r>
            <w:r>
              <w:rPr>
                <w:rFonts w:hint="eastAsia" w:ascii="微软雅黑" w:hAnsi="微软雅黑" w:eastAsia="微软雅黑" w:cs="微软雅黑"/>
              </w:rPr>
              <w:t>（升棺表演时间以景区当天安排为准）。</w:t>
            </w:r>
          </w:p>
        </w:tc>
        <w:tc>
          <w:tcPr>
            <w:tcW w:w="855" w:type="dxa"/>
            <w:vAlign w:val="center"/>
          </w:tcPr>
          <w:p>
            <w:pPr>
              <w:spacing w:line="440" w:lineRule="exact"/>
              <w:rPr>
                <w:rFonts w:hint="default" w:ascii="宋体" w:hAnsi="宋体" w:eastAsia="宋体" w:cs="宋体"/>
                <w:sz w:val="21"/>
                <w:szCs w:val="21"/>
                <w:lang w:val="en-US" w:eastAsia="zh-CN"/>
              </w:rPr>
            </w:pPr>
            <w:r>
              <w:rPr>
                <w:rFonts w:hint="eastAsia" w:ascii="微软雅黑" w:hAnsi="微软雅黑" w:eastAsia="微软雅黑" w:cs="微软雅黑"/>
                <w:kern w:val="2"/>
              </w:rPr>
              <w:t>早/</w:t>
            </w:r>
            <w:r>
              <w:rPr>
                <w:rFonts w:hint="eastAsia" w:ascii="微软雅黑" w:hAnsi="微软雅黑" w:eastAsia="微软雅黑" w:cs="微软雅黑"/>
                <w:kern w:val="2"/>
                <w:lang w:eastAsia="zh-CN"/>
              </w:rPr>
              <w:t>晚</w:t>
            </w:r>
          </w:p>
        </w:tc>
        <w:tc>
          <w:tcPr>
            <w:tcW w:w="1140" w:type="dxa"/>
            <w:vAlign w:val="center"/>
          </w:tcPr>
          <w:p>
            <w:pPr>
              <w:spacing w:line="440" w:lineRule="exact"/>
              <w:jc w:val="center"/>
              <w:rPr>
                <w:rFonts w:hint="eastAsia" w:ascii="宋体" w:hAnsi="宋体" w:eastAsia="宋体" w:cs="宋体"/>
                <w:sz w:val="21"/>
                <w:szCs w:val="21"/>
                <w:lang w:val="en-US" w:eastAsia="zh-CN"/>
              </w:rPr>
            </w:pPr>
            <w:r>
              <w:rPr>
                <w:rFonts w:hint="eastAsia" w:ascii="微软雅黑" w:hAnsi="微软雅黑" w:eastAsia="微软雅黑" w:cs="微软雅黑"/>
                <w:kern w:val="2"/>
              </w:rPr>
              <w:t>南昌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709" w:type="dxa"/>
            <w:vAlign w:val="center"/>
          </w:tcPr>
          <w:p>
            <w:pPr>
              <w:spacing w:line="440" w:lineRule="exact"/>
              <w:jc w:val="center"/>
              <w:rPr>
                <w:rFonts w:hint="eastAsia" w:ascii="宋体" w:hAnsi="宋体" w:eastAsia="宋体" w:cs="宋体"/>
                <w:b/>
                <w:color w:val="000000"/>
                <w:sz w:val="21"/>
                <w:szCs w:val="21"/>
                <w:lang w:eastAsia="zh-CN"/>
              </w:rPr>
            </w:pPr>
            <w:r>
              <w:rPr>
                <w:rFonts w:hint="eastAsia" w:ascii="微软雅黑" w:hAnsi="微软雅黑" w:eastAsia="微软雅黑" w:cs="微软雅黑"/>
                <w:b/>
                <w:color w:val="000000"/>
                <w:lang w:val="en-US" w:eastAsia="zh-CN"/>
              </w:rPr>
              <w:t>D5</w:t>
            </w:r>
          </w:p>
        </w:tc>
        <w:tc>
          <w:tcPr>
            <w:tcW w:w="7796"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558ED5" w:themeColor="text2" w:themeTint="99"/>
                <w:kern w:val="2"/>
                <w:sz w:val="28"/>
                <w:szCs w:val="28"/>
                <w14:textFill>
                  <w14:solidFill>
                    <w14:schemeClr w14:val="tx2">
                      <w14:lumMod w14:val="60000"/>
                      <w14:lumOff w14:val="40000"/>
                    </w14:schemeClr>
                  </w14:solidFill>
                </w14:textFill>
              </w:rPr>
            </w:pPr>
            <w:r>
              <w:rPr>
                <w:rFonts w:hint="eastAsia" w:ascii="宋体" w:hAnsi="宋体" w:cs="宋体"/>
                <w:b/>
                <w:bCs/>
                <w:color w:val="558ED5" w:themeColor="text2" w:themeTint="99"/>
                <w:kern w:val="2"/>
                <w:sz w:val="28"/>
                <w:szCs w:val="28"/>
                <w:lang w:val="en-US" w:eastAsia="zh-CN"/>
                <w14:textFill>
                  <w14:solidFill>
                    <w14:schemeClr w14:val="tx2">
                      <w14:lumMod w14:val="60000"/>
                      <w14:lumOff w14:val="40000"/>
                    </w14:schemeClr>
                  </w14:solidFill>
                </w14:textFill>
              </w:rPr>
              <w:t>南昌—昆明</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b/>
                <w:bCs/>
                <w:sz w:val="21"/>
                <w:szCs w:val="21"/>
                <w:lang w:val="en-US" w:eastAsia="zh-CN"/>
              </w:rPr>
            </w:pPr>
            <w:r>
              <w:rPr>
                <w:rFonts w:hint="eastAsia" w:ascii="微软雅黑" w:hAnsi="微软雅黑" w:eastAsia="微软雅黑" w:cs="微软雅黑"/>
                <w:kern w:val="2"/>
                <w:sz w:val="21"/>
                <w:szCs w:val="21"/>
              </w:rPr>
              <w:t>早餐后，根据返程时间返回，结束愉快旅行！</w:t>
            </w:r>
          </w:p>
        </w:tc>
        <w:tc>
          <w:tcPr>
            <w:tcW w:w="855" w:type="dxa"/>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lang w:val="en-US" w:eastAsia="zh-CN"/>
              </w:rPr>
            </w:pPr>
            <w:r>
              <w:rPr>
                <w:rFonts w:hint="eastAsia" w:ascii="宋体" w:hAnsi="宋体" w:eastAsia="宋体" w:cs="宋体"/>
                <w:kern w:val="2"/>
                <w:sz w:val="21"/>
                <w:szCs w:val="21"/>
                <w:lang w:eastAsia="zh-CN"/>
              </w:rPr>
              <w:t>早</w:t>
            </w:r>
          </w:p>
        </w:tc>
        <w:tc>
          <w:tcPr>
            <w:tcW w:w="114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0" w:hRule="atLeast"/>
        </w:trPr>
        <w:tc>
          <w:tcPr>
            <w:tcW w:w="709" w:type="dxa"/>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lang w:eastAsia="zh-CN"/>
              </w:rPr>
              <w:t>服务标准</w:t>
            </w:r>
          </w:p>
        </w:tc>
        <w:tc>
          <w:tcPr>
            <w:tcW w:w="9791" w:type="dxa"/>
            <w:gridSpan w:val="4"/>
            <w:vAlign w:val="center"/>
          </w:tcPr>
          <w:p>
            <w:pPr>
              <w:spacing w:line="440" w:lineRule="exact"/>
              <w:ind w:right="-458" w:rightChars="-218"/>
              <w:rPr>
                <w:rFonts w:ascii="微软雅黑" w:hAnsi="微软雅黑" w:eastAsia="微软雅黑" w:cs="微软雅黑"/>
                <w:lang w:eastAsia="zh-CN"/>
              </w:rPr>
            </w:pPr>
            <w:r>
              <w:rPr>
                <w:rFonts w:hint="eastAsia" w:ascii="微软雅黑" w:hAnsi="微软雅黑" w:eastAsia="微软雅黑" w:cs="微软雅黑"/>
                <w:lang w:val="en-US" w:eastAsia="zh-CN"/>
              </w:rPr>
              <w:t>1</w:t>
            </w:r>
            <w:r>
              <w:rPr>
                <w:rFonts w:hint="eastAsia" w:ascii="微软雅黑" w:hAnsi="微软雅黑" w:eastAsia="微软雅黑" w:cs="微软雅黑"/>
              </w:rPr>
              <w:t>.交通：</w:t>
            </w:r>
            <w:r>
              <w:rPr>
                <w:rFonts w:hint="eastAsia" w:ascii="微软雅黑" w:hAnsi="微软雅黑" w:eastAsia="微软雅黑" w:cs="微软雅黑"/>
                <w:lang w:eastAsia="zh-CN"/>
              </w:rPr>
              <w:t>昆明</w:t>
            </w:r>
            <w:r>
              <w:rPr>
                <w:rFonts w:hint="eastAsia" w:ascii="微软雅黑" w:hAnsi="微软雅黑" w:eastAsia="微软雅黑" w:cs="微软雅黑"/>
                <w:lang w:val="en-US" w:eastAsia="zh-CN"/>
              </w:rPr>
              <w:t>-南昌往返机票，</w:t>
            </w:r>
            <w:r>
              <w:rPr>
                <w:rFonts w:hint="eastAsia" w:ascii="微软雅黑" w:hAnsi="微软雅黑" w:eastAsia="微软雅黑" w:cs="微软雅黑"/>
              </w:rPr>
              <w:t>当地为空调旅游车</w:t>
            </w:r>
          </w:p>
          <w:p>
            <w:pPr>
              <w:pStyle w:val="5"/>
              <w:shd w:val="clear" w:color="auto" w:fill="FFFFFF"/>
              <w:spacing w:line="440" w:lineRule="exact"/>
              <w:rPr>
                <w:rFonts w:ascii="微软雅黑" w:hAnsi="微软雅黑" w:eastAsia="微软雅黑" w:cs="微软雅黑"/>
                <w:b/>
                <w:bCs/>
                <w:u w:val="single"/>
              </w:rPr>
            </w:pPr>
            <w:r>
              <w:rPr>
                <w:rFonts w:hint="eastAsia" w:ascii="微软雅黑" w:hAnsi="微软雅黑" w:eastAsia="微软雅黑" w:cs="微软雅黑"/>
              </w:rPr>
              <w:t>2.门票：</w:t>
            </w:r>
            <w:r>
              <w:rPr>
                <w:rFonts w:hint="eastAsia" w:ascii="微软雅黑" w:hAnsi="微软雅黑" w:eastAsia="微软雅黑" w:cs="微软雅黑"/>
                <w:b/>
                <w:bCs/>
                <w:u w:val="single"/>
              </w:rPr>
              <w:t>全程大门票和景区内小交通均为赠送，已与景区以最优惠的政策核算，如果不去或任何证件或年龄，不能再受任何优惠，不再退任何费用。</w:t>
            </w:r>
          </w:p>
          <w:p>
            <w:pPr>
              <w:numPr>
                <w:ilvl w:val="0"/>
                <w:numId w:val="1"/>
              </w:numPr>
              <w:spacing w:line="440" w:lineRule="exact"/>
              <w:ind w:left="-15" w:right="-359" w:rightChars="-171"/>
              <w:rPr>
                <w:rFonts w:ascii="微软雅黑" w:hAnsi="微软雅黑" w:eastAsia="微软雅黑" w:cs="微软雅黑"/>
              </w:rPr>
            </w:pPr>
            <w:r>
              <w:rPr>
                <w:rFonts w:hint="eastAsia" w:ascii="微软雅黑" w:hAnsi="微软雅黑" w:eastAsia="微软雅黑" w:cs="微软雅黑"/>
              </w:rPr>
              <w:t>住宿：</w:t>
            </w:r>
            <w:r>
              <w:rPr>
                <w:rFonts w:hint="eastAsia" w:ascii="微软雅黑" w:hAnsi="微软雅黑" w:eastAsia="微软雅黑" w:cs="微软雅黑"/>
                <w:lang w:eastAsia="zh-CN"/>
              </w:rPr>
              <w:t>全程商务温馨酒店，</w:t>
            </w:r>
            <w:r>
              <w:rPr>
                <w:rFonts w:hint="eastAsia" w:ascii="微软雅黑" w:hAnsi="微软雅黑" w:eastAsia="微软雅黑" w:cs="微软雅黑"/>
                <w:lang w:val="en-US" w:eastAsia="zh-CN"/>
              </w:rPr>
              <w:t>婺源酒店存在特殊性故不含空调使</w:t>
            </w:r>
          </w:p>
          <w:p>
            <w:pPr>
              <w:spacing w:line="440" w:lineRule="exact"/>
              <w:ind w:right="-359" w:rightChars="-171"/>
              <w:rPr>
                <w:rFonts w:ascii="微软雅黑" w:hAnsi="微软雅黑" w:eastAsia="微软雅黑" w:cs="微软雅黑"/>
              </w:rPr>
            </w:pPr>
            <w:r>
              <w:rPr>
                <w:rFonts w:hint="eastAsia" w:ascii="微软雅黑" w:hAnsi="微软雅黑" w:eastAsia="微软雅黑" w:cs="微软雅黑"/>
                <w:lang w:val="en-US" w:eastAsia="zh-CN"/>
              </w:rPr>
              <w:t>用费。</w:t>
            </w:r>
            <w:r>
              <w:rPr>
                <w:rFonts w:hint="eastAsia" w:ascii="微软雅黑" w:hAnsi="微软雅黑" w:eastAsia="微软雅黑" w:cs="微软雅黑"/>
                <w:color w:val="000000"/>
                <w:shd w:val="clear" w:color="auto" w:fill="FFFFFF"/>
              </w:rPr>
              <w:t>温馨提醒：因地域原因，当地景区酒店星级标准不能与大城市同级酒店相比，敬请谅解</w:t>
            </w:r>
          </w:p>
          <w:p>
            <w:pPr>
              <w:numPr>
                <w:ilvl w:val="0"/>
                <w:numId w:val="1"/>
              </w:numPr>
              <w:spacing w:line="440" w:lineRule="exact"/>
              <w:ind w:left="-15" w:leftChars="0" w:firstLine="0" w:firstLineChars="0"/>
              <w:rPr>
                <w:rFonts w:hint="eastAsia" w:ascii="微软雅黑" w:hAnsi="微软雅黑" w:eastAsia="微软雅黑" w:cs="微软雅黑"/>
              </w:rPr>
            </w:pPr>
            <w:r>
              <w:rPr>
                <w:rFonts w:hint="eastAsia" w:ascii="微软雅黑" w:hAnsi="微软雅黑" w:eastAsia="微软雅黑" w:cs="微软雅黑"/>
              </w:rPr>
              <w:t>膳食：</w:t>
            </w:r>
            <w:r>
              <w:rPr>
                <w:rFonts w:hint="eastAsia" w:ascii="微软雅黑" w:hAnsi="微软雅黑" w:eastAsia="微软雅黑" w:cs="微软雅黑"/>
                <w:lang w:eastAsia="zh-CN"/>
              </w:rPr>
              <w:t>赠送</w:t>
            </w:r>
            <w:r>
              <w:rPr>
                <w:rFonts w:hint="eastAsia" w:ascii="微软雅黑" w:hAnsi="微软雅黑" w:eastAsia="微软雅黑" w:cs="微软雅黑"/>
                <w:lang w:val="en-US" w:eastAsia="zh-CN"/>
              </w:rPr>
              <w:t>4</w:t>
            </w:r>
            <w:r>
              <w:rPr>
                <w:rFonts w:hint="eastAsia" w:ascii="微软雅黑" w:hAnsi="微软雅黑" w:eastAsia="微软雅黑" w:cs="微软雅黑"/>
              </w:rPr>
              <w:t>早</w:t>
            </w:r>
          </w:p>
          <w:p>
            <w:pPr>
              <w:spacing w:line="440" w:lineRule="exact"/>
              <w:rPr>
                <w:rFonts w:ascii="微软雅黑" w:hAnsi="微软雅黑" w:eastAsia="微软雅黑" w:cs="微软雅黑"/>
              </w:rPr>
            </w:pPr>
            <w:r>
              <w:rPr>
                <w:rFonts w:hint="eastAsia" w:ascii="微软雅黑" w:hAnsi="微软雅黑" w:eastAsia="微软雅黑" w:cs="微软雅黑"/>
              </w:rPr>
              <w:t>5.导游：</w:t>
            </w:r>
            <w:r>
              <w:rPr>
                <w:rFonts w:hint="eastAsia" w:ascii="微软雅黑" w:hAnsi="微软雅黑" w:eastAsia="微软雅黑" w:cs="微软雅黑"/>
                <w:lang w:eastAsia="zh-CN"/>
              </w:rPr>
              <w:t>全程优秀导游服务</w:t>
            </w:r>
            <w:r>
              <w:rPr>
                <w:rFonts w:hint="eastAsia" w:ascii="微软雅黑" w:hAnsi="微软雅黑" w:eastAsia="微软雅黑" w:cs="微软雅黑"/>
              </w:rPr>
              <w:t>；</w:t>
            </w:r>
          </w:p>
          <w:p>
            <w:pPr>
              <w:spacing w:line="440" w:lineRule="exact"/>
              <w:rPr>
                <w:rFonts w:ascii="微软雅黑" w:hAnsi="微软雅黑" w:eastAsia="微软雅黑" w:cs="微软雅黑"/>
                <w:lang w:val="en-US" w:eastAsia="zh-CN"/>
              </w:rPr>
            </w:pPr>
            <w:r>
              <w:rPr>
                <w:rFonts w:hint="eastAsia" w:ascii="微软雅黑" w:hAnsi="微软雅黑" w:eastAsia="微软雅黑" w:cs="微软雅黑"/>
              </w:rPr>
              <w:t>6.购物：</w:t>
            </w:r>
            <w:r>
              <w:rPr>
                <w:rFonts w:hint="eastAsia" w:ascii="微软雅黑" w:hAnsi="微软雅黑" w:eastAsia="微软雅黑" w:cs="微软雅黑"/>
                <w:lang w:val="en-US" w:eastAsia="zh-CN"/>
              </w:rPr>
              <w:t xml:space="preserve"> 详见补充协议</w:t>
            </w:r>
          </w:p>
          <w:p>
            <w:pPr>
              <w:spacing w:line="440" w:lineRule="exact"/>
              <w:rPr>
                <w:rFonts w:hint="eastAsia" w:ascii="微软雅黑" w:hAnsi="微软雅黑" w:eastAsia="微软雅黑" w:cs="微软雅黑"/>
                <w:color w:val="C00000"/>
                <w:lang w:val="en-US" w:eastAsia="zh-CN"/>
              </w:rPr>
            </w:pPr>
            <w:r>
              <w:rPr>
                <w:rFonts w:hint="eastAsia" w:ascii="微软雅黑" w:hAnsi="微软雅黑" w:eastAsia="微软雅黑" w:cs="微软雅黑"/>
                <w:color w:val="C00000"/>
                <w:lang w:val="en-US" w:eastAsia="zh-CN"/>
              </w:rPr>
              <w:t>郑重承诺：含全程大门票及景区小交通，我社绝不在行程中推荐任何自费项目。</w:t>
            </w:r>
          </w:p>
          <w:p>
            <w:pPr>
              <w:spacing w:line="440" w:lineRule="exact"/>
              <w:rPr>
                <w:rFonts w:hint="eastAsia" w:ascii="微软雅黑" w:hAnsi="微软雅黑" w:eastAsia="微软雅黑" w:cs="微软雅黑"/>
                <w:color w:val="C00000"/>
                <w:lang w:val="en-US" w:eastAsia="zh-CN"/>
              </w:rPr>
            </w:pPr>
            <w:r>
              <w:rPr>
                <w:rFonts w:hint="eastAsia" w:ascii="微软雅黑" w:hAnsi="微软雅黑" w:eastAsia="微软雅黑" w:cs="微软雅黑"/>
                <w:color w:val="C00000"/>
                <w:lang w:val="en-US" w:eastAsia="zh-CN"/>
              </w:rPr>
              <w:t>我社有权根据航班时间，前后调整景点顺序</w:t>
            </w:r>
          </w:p>
          <w:p>
            <w:pPr>
              <w:keepNext w:val="0"/>
              <w:keepLines w:val="0"/>
              <w:pageBreakBefore w:val="0"/>
              <w:kinsoku/>
              <w:wordWrap/>
              <w:overflowPunct/>
              <w:topLinePunct w:val="0"/>
              <w:autoSpaceDE/>
              <w:autoSpaceDN/>
              <w:bidi w:val="0"/>
              <w:adjustRightInd/>
              <w:snapToGrid/>
              <w:spacing w:line="360" w:lineRule="exact"/>
              <w:textAlignment w:val="auto"/>
              <w:outlineLvl w:val="9"/>
              <w:rPr>
                <w:rFonts w:hint="eastAsia" w:ascii="微软雅黑" w:hAnsi="微软雅黑" w:eastAsia="微软雅黑"/>
                <w:sz w:val="24"/>
                <w:szCs w:val="24"/>
                <w:lang w:val="en-US" w:eastAsia="zh-CN"/>
              </w:rPr>
            </w:pPr>
            <w:r>
              <w:rPr>
                <w:rFonts w:hint="eastAsia" w:ascii="微软雅黑" w:hAnsi="微软雅黑" w:eastAsia="微软雅黑" w:cs="微软雅黑"/>
                <w:color w:val="C00000"/>
                <w:lang w:val="en-US" w:eastAsia="zh-CN"/>
              </w:rPr>
              <w:t>备注：景德镇因特殊的原因，景区路边商品店不算购特店，特此</w:t>
            </w:r>
            <w:bookmarkStart w:id="0" w:name="_GoBack"/>
            <w:bookmarkEnd w:id="0"/>
            <w:r>
              <w:rPr>
                <w:rFonts w:hint="eastAsia" w:ascii="微软雅黑" w:hAnsi="微软雅黑" w:eastAsia="微软雅黑" w:cs="微软雅黑"/>
                <w:color w:val="C00000"/>
                <w:lang w:val="en-US" w:eastAsia="zh-CN"/>
              </w:rPr>
              <w:t>告知。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atLeast"/>
        </w:trPr>
        <w:tc>
          <w:tcPr>
            <w:tcW w:w="709" w:type="dxa"/>
            <w:vAlign w:val="center"/>
          </w:tcPr>
          <w:p>
            <w:pPr>
              <w:spacing w:line="440" w:lineRule="exact"/>
              <w:jc w:val="center"/>
              <w:rPr>
                <w:rFonts w:hint="eastAsia" w:ascii="宋体" w:hAnsi="宋体" w:eastAsia="宋体" w:cs="宋体"/>
                <w:b/>
                <w:color w:val="000000"/>
                <w:sz w:val="21"/>
                <w:szCs w:val="21"/>
                <w:lang w:eastAsia="zh-CN"/>
              </w:rPr>
            </w:pPr>
            <w:r>
              <w:rPr>
                <w:rFonts w:hint="eastAsia" w:ascii="微软雅黑" w:hAnsi="微软雅黑" w:eastAsia="微软雅黑" w:cs="微软雅黑"/>
                <w:b/>
                <w:color w:val="000000"/>
                <w:lang w:eastAsia="zh-CN"/>
              </w:rPr>
              <w:t>费用不含</w:t>
            </w:r>
          </w:p>
        </w:tc>
        <w:tc>
          <w:tcPr>
            <w:tcW w:w="9791" w:type="dxa"/>
            <w:gridSpan w:val="4"/>
            <w:vAlign w:val="center"/>
          </w:tcPr>
          <w:p>
            <w:pPr>
              <w:spacing w:line="440" w:lineRule="exact"/>
              <w:ind w:left="1470" w:leftChars="0" w:hanging="1470" w:hangingChars="700"/>
              <w:rPr>
                <w:rFonts w:hint="eastAsia" w:ascii="微软雅黑" w:hAnsi="微软雅黑" w:eastAsia="微软雅黑" w:cs="微软雅黑"/>
                <w:color w:val="C00000"/>
                <w:lang w:val="en-US" w:eastAsia="zh-CN"/>
              </w:rPr>
            </w:pPr>
            <w:r>
              <w:rPr>
                <w:rFonts w:hint="eastAsia" w:ascii="微软雅黑" w:hAnsi="微软雅黑" w:eastAsia="微软雅黑" w:cs="微软雅黑"/>
                <w:color w:val="FF0000"/>
                <w:lang w:val="en-US" w:eastAsia="zh-CN"/>
              </w:rPr>
              <w:t>司机、导游服务费、以及行程内所列的4正餐餐费（10人1桌8菜1汤，未满10人视人数减少而相应减少菜数量）合计399元/人。请随团费交清。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88" w:hRule="atLeast"/>
        </w:trPr>
        <w:tc>
          <w:tcPr>
            <w:tcW w:w="848" w:type="dxa"/>
            <w:gridSpan w:val="2"/>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outlineLvl w:val="9"/>
              <w:rPr>
                <w:rFonts w:hint="eastAsia" w:ascii="宋体" w:hAnsi="宋体" w:eastAsia="宋体" w:cs="宋体"/>
                <w:b/>
                <w:color w:val="000000"/>
                <w:sz w:val="21"/>
                <w:szCs w:val="21"/>
              </w:rPr>
            </w:pPr>
            <w:r>
              <w:rPr>
                <w:rFonts w:hint="eastAsia" w:ascii="宋体" w:hAnsi="宋体" w:eastAsia="宋体" w:cs="宋体"/>
                <w:b/>
                <w:color w:val="000000"/>
                <w:sz w:val="21"/>
                <w:szCs w:val="21"/>
              </w:rPr>
              <w:t>温馨提示</w:t>
            </w:r>
          </w:p>
        </w:tc>
        <w:tc>
          <w:tcPr>
            <w:tcW w:w="9652" w:type="dxa"/>
            <w:gridSpan w:val="3"/>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（请仔细阅读）：</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w:t>
            </w:r>
            <w:r>
              <w:rPr>
                <w:rFonts w:hint="eastAsia" w:ascii="微软雅黑" w:hAnsi="微软雅黑" w:eastAsia="微软雅黑"/>
                <w:b/>
                <w:bCs/>
              </w:rPr>
              <w:t>、以上行程是散拼行程</w:t>
            </w:r>
            <w:r>
              <w:rPr>
                <w:rFonts w:ascii="微软雅黑" w:hAnsi="微软雅黑" w:eastAsia="微软雅黑"/>
                <w:b/>
                <w:bCs/>
              </w:rPr>
              <w:t>,</w:t>
            </w:r>
            <w:r>
              <w:rPr>
                <w:rFonts w:hint="eastAsia" w:ascii="微软雅黑" w:hAnsi="微软雅黑" w:eastAsia="微软雅黑"/>
                <w:b/>
                <w:bCs/>
              </w:rPr>
              <w:t>游客的行程需和我社行程一致，便与我社操作，如不一致由此造成损失我社不</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承担责任。因人力不可抗拒或政治等因素造成的原游览景点不能参观，本社负责安排参观在大多数游客</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同意下的套票之内景点，门票不退，不承担由此造成的损失和责任，在不减少景点的情况下，我社有权</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调整行程；但游览内容不会减少、标准不会降低；行程内景点的游览时间以该行程的导游具体操作为准；</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请游客谅解及配合！请您按旅行社指定的地点和时间集合，见相关出团标志统一集中乘车出发，由于参团</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人员多，地点不一，出发时间及计划内约定时间有一定的误差，请客人谅解。如果因客人原因导致误车，</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损失由客人自付；如产生其他损失，我社有进一步追究法律责任的权利。因此团是散客拼团，经常会出现</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游客人数增减，故车牌及导游电话出来得比较晚；但导游会在出发前一天的</w:t>
            </w:r>
            <w:r>
              <w:rPr>
                <w:rFonts w:ascii="微软雅黑" w:hAnsi="微软雅黑" w:eastAsia="微软雅黑"/>
                <w:b/>
                <w:bCs/>
              </w:rPr>
              <w:t>18</w:t>
            </w:r>
            <w:r>
              <w:rPr>
                <w:rFonts w:hint="eastAsia" w:ascii="微软雅黑" w:hAnsi="微软雅黑" w:eastAsia="微软雅黑"/>
                <w:b/>
                <w:bCs/>
              </w:rPr>
              <w:t>：</w:t>
            </w:r>
            <w:r>
              <w:rPr>
                <w:rFonts w:ascii="微软雅黑" w:hAnsi="微软雅黑" w:eastAsia="微软雅黑"/>
                <w:b/>
                <w:bCs/>
              </w:rPr>
              <w:t>00-20</w:t>
            </w:r>
            <w:r>
              <w:rPr>
                <w:rFonts w:hint="eastAsia" w:ascii="微软雅黑" w:hAnsi="微软雅黑" w:eastAsia="微软雅黑"/>
                <w:b/>
                <w:bCs/>
              </w:rPr>
              <w:t>：</w:t>
            </w:r>
            <w:r>
              <w:rPr>
                <w:rFonts w:ascii="微软雅黑" w:hAnsi="微软雅黑" w:eastAsia="微软雅黑"/>
                <w:b/>
                <w:bCs/>
              </w:rPr>
              <w:t>00</w:t>
            </w:r>
            <w:r>
              <w:rPr>
                <w:rFonts w:hint="eastAsia" w:ascii="微软雅黑" w:hAnsi="微软雅黑" w:eastAsia="微软雅黑"/>
                <w:b/>
                <w:bCs/>
              </w:rPr>
              <w:t>与客人电话联系，通知车牌号码及注意事项；若</w:t>
            </w:r>
            <w:r>
              <w:rPr>
                <w:rFonts w:ascii="微软雅黑" w:hAnsi="微软雅黑" w:eastAsia="微软雅黑"/>
                <w:b/>
                <w:bCs/>
              </w:rPr>
              <w:t>20</w:t>
            </w:r>
            <w:r>
              <w:rPr>
                <w:rFonts w:hint="eastAsia" w:ascii="微软雅黑" w:hAnsi="微软雅黑" w:eastAsia="微软雅黑"/>
                <w:b/>
                <w:bCs/>
              </w:rPr>
              <w:t>：</w:t>
            </w:r>
            <w:r>
              <w:rPr>
                <w:rFonts w:ascii="微软雅黑" w:hAnsi="微软雅黑" w:eastAsia="微软雅黑"/>
                <w:b/>
                <w:bCs/>
              </w:rPr>
              <w:t>00</w:t>
            </w:r>
            <w:r>
              <w:rPr>
                <w:rFonts w:hint="eastAsia" w:ascii="微软雅黑" w:hAnsi="微软雅黑" w:eastAsia="微软雅黑"/>
                <w:b/>
                <w:bCs/>
              </w:rPr>
              <w:t>以后仍未接到导游电话的，请游客速与旅行社联系谢谢！</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2</w:t>
            </w:r>
            <w:r>
              <w:rPr>
                <w:rFonts w:hint="eastAsia" w:ascii="微软雅黑" w:hAnsi="微软雅黑" w:eastAsia="微软雅黑"/>
                <w:b/>
                <w:bCs/>
              </w:rPr>
              <w:t>、此产品为我社专车专导独立团产品，行程中约定时间均为预计，实际可能有一定误差。因任何公共交通引起的人身财产行程损失，由旅游者自行承担；因非我社造成的旅游者无法出游的，我社需收取已产生费用，并收取业务预定损失，需换人参加的，需另签合同为准；出发后要求退团的，所有团款不退；因非我社造成的旅游者行程变化的，减少部分我社不予补偿，增加的费用由旅游者自行承担。</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3</w:t>
            </w:r>
            <w:r>
              <w:rPr>
                <w:rFonts w:hint="eastAsia" w:ascii="微软雅黑" w:hAnsi="微软雅黑" w:eastAsia="微软雅黑"/>
                <w:b/>
                <w:bCs/>
              </w:rPr>
              <w:t>、旅游者购买、接受旅游服务时，应当向旅游经营者如实告知与旅游活动相关的个人健康信息，遵守旅游活动中的安全警示规定。应确保身体健康，保证自身条件能够完成行程；未满</w:t>
            </w:r>
            <w:r>
              <w:rPr>
                <w:rFonts w:ascii="微软雅黑" w:hAnsi="微软雅黑" w:eastAsia="微软雅黑"/>
                <w:b/>
                <w:bCs/>
              </w:rPr>
              <w:t>2</w:t>
            </w:r>
            <w:r>
              <w:rPr>
                <w:rFonts w:hint="eastAsia" w:ascii="微软雅黑" w:hAnsi="微软雅黑" w:eastAsia="微软雅黑"/>
                <w:b/>
                <w:bCs/>
              </w:rPr>
              <w:t>周岁或年满</w:t>
            </w:r>
            <w:r>
              <w:rPr>
                <w:rFonts w:ascii="微软雅黑" w:hAnsi="微软雅黑" w:eastAsia="微软雅黑"/>
                <w:b/>
                <w:bCs/>
              </w:rPr>
              <w:t>70</w:t>
            </w:r>
            <w:r>
              <w:rPr>
                <w:rFonts w:hint="eastAsia" w:ascii="微软雅黑" w:hAnsi="微软雅黑" w:eastAsia="微软雅黑"/>
                <w:b/>
                <w:bCs/>
              </w:rPr>
              <w:t>周岁的，有心肺脑血管病听视力障碍的，不宜长途及高原旅行的，既有病史和身体残障的，均不适合参加；任何隐瞒造成的后果由旅游者自行承担。</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4</w:t>
            </w:r>
            <w:r>
              <w:rPr>
                <w:rFonts w:hint="eastAsia" w:ascii="微软雅黑" w:hAnsi="微软雅黑" w:eastAsia="微软雅黑"/>
                <w:b/>
                <w:bCs/>
              </w:rPr>
              <w:t>、签定合同请提供有效正确的身份信息，并于行程中随身携带身份证件，遗忘遗失等造成办理入住酒店等损失由旅游者自行承担。所有宾馆需凭身份证登记入住，如不带身份证在登记入住时可能会在当地带来不必要的麻烦；</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5</w:t>
            </w:r>
            <w:r>
              <w:rPr>
                <w:rFonts w:hint="eastAsia" w:ascii="微软雅黑" w:hAnsi="微软雅黑" w:eastAsia="微软雅黑"/>
                <w:b/>
                <w:bCs/>
              </w:rPr>
              <w:t>、出行前请提前出行前准备好一双合脚的鞋，我们的行程基本上是靠自己的双脚走路的，最好选择球鞋、布鞋和旅游鞋、平底鞋，勿穿皮鞋或者高跟鞋。了解目的地天气地理状况，并请备好常用保暖，降暑，防晒，防雨用品及常备药品。请注意行程中上下车，行车中，酒店内，景区内，用餐点人身及财产安全；请注意禁止标志，不可冒险前往；景区内禁止吸烟，请爱护公共环境卫生。</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6</w:t>
            </w:r>
            <w:r>
              <w:rPr>
                <w:rFonts w:hint="eastAsia" w:ascii="微软雅黑" w:hAnsi="微软雅黑" w:eastAsia="微软雅黑"/>
                <w:b/>
                <w:bCs/>
              </w:rPr>
              <w:t>、行程内行车途中均会提供沿途休息及上厕所，请主动付费自备小钞。包括餐后休息，酒店休息，行程中标明的自由活动均属自由活动时间，期间旅游者自身财产及人身安全由其本人自行负责，请注意安全，并请勿参加违反中国法律不宜参加的活动；</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7</w:t>
            </w:r>
            <w:r>
              <w:rPr>
                <w:rFonts w:hint="eastAsia" w:ascii="微软雅黑" w:hAnsi="微软雅黑" w:eastAsia="微软雅黑"/>
                <w:b/>
                <w:bCs/>
              </w:rPr>
              <w:t>、各景区内配套，各延途停留点均有旅游纪念品，纪念照片，土特产，小卖部各物品出售，非我社提供服务，特别是私人小贩售卖，更不在我社控制范围，不买请勿还价；如有兴趣，请旅游者自行甄别，如有购买为其个人行为，任何后果由旅游者自行承担。</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旅游者在旅游活动中应当遵守社会公共秩序和社会公德，尊重当地的风俗习惯、文化传统和宗教信仰，爱护旅游资源，保护生态环境，遵守旅游文明行为规范。避免与当地居民发生冲突；为安全考虑，晚间及单独不宜自行外出。</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8</w:t>
            </w:r>
            <w:r>
              <w:rPr>
                <w:rFonts w:hint="eastAsia" w:ascii="微软雅黑" w:hAnsi="微软雅黑" w:eastAsia="微软雅黑"/>
                <w:b/>
                <w:bCs/>
              </w:rPr>
              <w:t>、因特殊原因造成标准误差，按照实际发生情况根据《旅游法》进行补退；因旅游过程中的特殊情况，在不减少旅游景点游览的情况下，我社保留旅游行程临时调整的权利。</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9</w:t>
            </w:r>
            <w:r>
              <w:rPr>
                <w:rFonts w:hint="eastAsia" w:ascii="微软雅黑" w:hAnsi="微软雅黑" w:eastAsia="微软雅黑"/>
                <w:b/>
                <w:bCs/>
              </w:rPr>
              <w:t>、如遇国家政策性调价及人力不可抗拒因素（天气、交通、自然灾害等）造成的损失和增加的费用由客人承担，我社不承担任何责任及费用，我社会尽义务积极协调解决帮助。因不可抗力或者旅行社、履行辅助人已尽合理注意义务仍不能避免的事件，造成旅游者行程减少的，我社按未发生费用退还；造成滞留的，我社将协助安排，因此增加的费用由旅游者自行承担。</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10</w:t>
            </w:r>
            <w:r>
              <w:rPr>
                <w:rFonts w:hint="eastAsia" w:ascii="微软雅黑" w:hAnsi="微软雅黑" w:eastAsia="微软雅黑"/>
                <w:b/>
                <w:bCs/>
              </w:rPr>
              <w:t>、行程中未经协商的擅自离团，视同旅游者违约，未完成部分将被视为自行放弃，我社不再退费，并不予承担旅游者由此产生的额外费用。正常的项目退费（门票，住宿）以我社折扣价为标准，均不以挂牌价为准。</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11</w:t>
            </w:r>
            <w:r>
              <w:rPr>
                <w:rFonts w:hint="eastAsia" w:ascii="微软雅黑" w:hAnsi="微软雅黑" w:eastAsia="微软雅黑"/>
                <w:b/>
                <w:bCs/>
              </w:rPr>
              <w:t>、我社已购联票，未去景点不退，游客如有享受门票优惠的相关证件，请主动提前向当团导游出示，我社一律按旅行社折后价退差价。如不能主动提前向当团导游出示的，造成不能享受门票优惠的，由客人自己承担全部责任及损失。</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12</w:t>
            </w:r>
            <w:r>
              <w:rPr>
                <w:rFonts w:hint="eastAsia" w:ascii="微软雅黑" w:hAnsi="微软雅黑" w:eastAsia="微软雅黑"/>
                <w:b/>
                <w:bCs/>
              </w:rPr>
              <w:t>、如您在当地有何不满意之处，请立即告知我社，所有问题在当地积极协调解决处理为妥；为保证我们的服务质量，请旅游者在游览结束之前，本着公平、公正、实事求是的原则认真填写《游客服务质量反馈单》，我社将根据《游客服务质量反馈单》的信息对接待质量进行考核，解决投诉以此团大部分游客在当地所签署的〈游客意见反馈单〉为准，恕不受理因游客虚填或不填而产生的服务质量后续争议以及与意见单不符合的投诉，返回后提出问题投诉责任自负。</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13</w:t>
            </w:r>
            <w:r>
              <w:rPr>
                <w:rFonts w:hint="eastAsia" w:ascii="微软雅黑" w:hAnsi="微软雅黑" w:eastAsia="微软雅黑"/>
                <w:b/>
                <w:bCs/>
              </w:rPr>
              <w:t>、为确保每位游客的旅途安全，每位报名儿童需安排旅游车位，请如实告知儿童实际情况，若因报情况与实际不符造成无法接待，本社不承担责任，儿童只含当地旅游车费及导服，其他费用自理。</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14</w:t>
            </w:r>
            <w:r>
              <w:rPr>
                <w:rFonts w:hint="eastAsia" w:ascii="微软雅黑" w:hAnsi="微软雅黑" w:eastAsia="微软雅黑"/>
                <w:b/>
                <w:bCs/>
              </w:rPr>
              <w:t>旅途中请游客注意人身安全并妥善保管好自己的财物，如发生意外、失窃，请立即告知导游并报警。投保旅游意外险的游客请尽快和报名旅行社联系，以便处理保险相关报案及赔付事宜。如不及时通知导游和报名旅行社则按放弃索赔权利处理；</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b/>
                <w:bCs/>
              </w:rPr>
              <w:t>由于地方差异，口味不同，饮食上要小心。饮食以当地口味为主，含餐的游客如有特殊饮食要求，请提前告知。由于山区特殊情况，用餐时间可能不准时，请适当备点干粮充饥。提醒贵宾如有自己本地的小吃或开胃菜自带，提醒游客景区用餐条件不能和城市相比，注意饮食卫生，尽量避免小摊小贩兜售的食品。</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15</w:t>
            </w:r>
            <w:r>
              <w:rPr>
                <w:rFonts w:hint="eastAsia" w:ascii="微软雅黑" w:hAnsi="微软雅黑" w:eastAsia="微软雅黑"/>
                <w:b/>
                <w:bCs/>
              </w:rPr>
              <w:t>、收客前请来电咨询确认。确认后不得无故取消。因本产品是长线产品，报名取消，临时填补不了车位，每人收取</w:t>
            </w:r>
            <w:r>
              <w:rPr>
                <w:rFonts w:ascii="微软雅黑" w:hAnsi="微软雅黑" w:eastAsia="微软雅黑"/>
                <w:b/>
                <w:bCs/>
              </w:rPr>
              <w:t>300</w:t>
            </w:r>
            <w:r>
              <w:rPr>
                <w:rFonts w:hint="eastAsia" w:ascii="微软雅黑" w:hAnsi="微软雅黑" w:eastAsia="微软雅黑"/>
                <w:b/>
                <w:bCs/>
              </w:rPr>
              <w:t>元</w:t>
            </w:r>
            <w:r>
              <w:rPr>
                <w:rFonts w:ascii="微软雅黑" w:hAnsi="微软雅黑" w:eastAsia="微软雅黑"/>
                <w:b/>
                <w:bCs/>
              </w:rPr>
              <w:t>/</w:t>
            </w:r>
            <w:r>
              <w:rPr>
                <w:rFonts w:hint="eastAsia" w:ascii="微软雅黑" w:hAnsi="微软雅黑" w:eastAsia="微软雅黑"/>
                <w:b/>
                <w:bCs/>
              </w:rPr>
              <w:t>人车位费损失；</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16</w:t>
            </w:r>
            <w:r>
              <w:rPr>
                <w:rFonts w:hint="eastAsia" w:ascii="微软雅黑" w:hAnsi="微软雅黑" w:eastAsia="微软雅黑"/>
                <w:b/>
                <w:bCs/>
              </w:rPr>
              <w:t>、江西旅游接待旺季为每年的</w:t>
            </w:r>
            <w:r>
              <w:rPr>
                <w:rFonts w:ascii="微软雅黑" w:hAnsi="微软雅黑" w:eastAsia="微软雅黑"/>
                <w:b/>
                <w:bCs/>
              </w:rPr>
              <w:t>3-11</w:t>
            </w:r>
            <w:r>
              <w:rPr>
                <w:rFonts w:hint="eastAsia" w:ascii="微软雅黑" w:hAnsi="微软雅黑" w:eastAsia="微软雅黑"/>
                <w:b/>
                <w:bCs/>
              </w:rPr>
              <w:t>月份，此期间接待现象为客人多，接待车辆少。在旅游过程中可能会出现循环用车和等车现象，请客人多多体谅与理解！景区环保车或电瓶车为即停即上循环载客，请提醒客人上下车带好自己的随身物品！下车前要将自己所有携带的物品带下车，一旦忘记携带，将很难找回贵重物品；</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17</w:t>
            </w:r>
            <w:r>
              <w:rPr>
                <w:rFonts w:hint="eastAsia" w:ascii="微软雅黑" w:hAnsi="微软雅黑" w:eastAsia="微软雅黑"/>
                <w:b/>
                <w:bCs/>
              </w:rPr>
              <w:t>、在旅游行程中的自由活动时间，旅游者应当选择自己能够控制风险的活动项目，并在自己能够控制风险的范围内活动。我社提醒旅游者请注意人身及财产安全，自由活动期间的安全责任游客自负；旅途中请游客注意人身安全并妥善保管好自己的财物，如发生意外、失窃，请立即告知导游并报警。投保旅游意外险的游客请尽快和报名旅行社联系，以便处理保险相关报案及赔付事宜。如不及时通知导游和报名旅行社则按放弃索赔权利处理；</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ascii="微软雅黑" w:hAnsi="微软雅黑" w:eastAsia="微软雅黑"/>
                <w:b/>
                <w:bCs/>
              </w:rPr>
              <w:t>18</w:t>
            </w:r>
            <w:r>
              <w:rPr>
                <w:rFonts w:hint="eastAsia" w:ascii="微软雅黑" w:hAnsi="微软雅黑" w:eastAsia="微软雅黑"/>
                <w:b/>
                <w:bCs/>
              </w:rPr>
              <w:t>、行程中的景点（区）门票如遇国家政策性调整请按景区规定，由客人现付门票差价；如遇国家政策性调价及人力不可抗拒因素（天气、交通、自然灾害等）造成的损失和增加的费用由客人承担，我社不承担任何责任及费用，我社会尽义务积极协调解决帮助。</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b/>
                <w:bCs/>
              </w:rPr>
            </w:pPr>
            <w:r>
              <w:rPr>
                <w:rFonts w:ascii="微软雅黑" w:hAnsi="微软雅黑" w:eastAsia="微软雅黑"/>
                <w:b/>
                <w:bCs/>
              </w:rPr>
              <w:t>19</w:t>
            </w:r>
            <w:r>
              <w:rPr>
                <w:rFonts w:hint="eastAsia" w:ascii="微软雅黑" w:hAnsi="微软雅黑" w:eastAsia="微软雅黑"/>
                <w:b/>
                <w:bCs/>
              </w:rPr>
              <w:t>、带好必备的药品。旅行途中一旦身体不适，带点必备小药品能救大急。例如：感冒药、乘晕宁、息思敏、黄连素、创口贴等。天热时带好防晒霜；</w:t>
            </w:r>
            <w:r>
              <w:rPr>
                <w:rFonts w:ascii="微软雅黑" w:hAnsi="微软雅黑" w:eastAsia="微软雅黑"/>
                <w:b/>
                <w:bCs/>
              </w:rPr>
              <w:t xml:space="preserve"> </w:t>
            </w:r>
            <w:r>
              <w:rPr>
                <w:rFonts w:hint="eastAsia" w:ascii="微软雅黑" w:hAnsi="微软雅黑" w:eastAsia="微软雅黑"/>
                <w:b/>
                <w:bCs/>
              </w:rPr>
              <w:t>雨伞一年四季必备。</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b/>
                <w:bCs/>
                <w:lang w:val="en-US" w:eastAsia="zh-CN"/>
              </w:rPr>
            </w:pPr>
            <w:r>
              <w:rPr>
                <w:rFonts w:hint="eastAsia" w:ascii="微软雅黑" w:hAnsi="微软雅黑" w:eastAsia="微软雅黑"/>
                <w:b/>
                <w:bCs/>
                <w:lang w:val="en-US" w:eastAsia="zh-CN"/>
              </w:rPr>
              <w:t>20、</w:t>
            </w:r>
            <w:r>
              <w:rPr>
                <w:rFonts w:hint="eastAsia" w:ascii="微软雅黑" w:hAnsi="微软雅黑" w:eastAsia="微软雅黑"/>
                <w:b/>
                <w:bCs/>
                <w:color w:val="FF0000"/>
                <w:lang w:val="en-US" w:eastAsia="zh-CN"/>
              </w:rPr>
              <w:t>特别提醒：</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rPr>
            </w:pPr>
            <w:r>
              <w:rPr>
                <w:rFonts w:hint="eastAsia" w:ascii="微软雅黑" w:hAnsi="微软雅黑" w:eastAsia="微软雅黑" w:cs="新宋体"/>
                <w:b/>
                <w:bCs/>
                <w:kern w:val="0"/>
              </w:rPr>
              <w:t>意见书填写（非常重要）：我社处理投诉以游客在当地签署的旅游意见书为依据请游客尊重自己的权利，如实填写当地导游所发的旅游反馈表，解决投诉以此大部分游客在当地所签署的意见书为准，恕不受理因游客虚填或不填而产生的服务质量后续争议以及与意见单不符合的投诉，如游客未签或未提出异议我社则为满意，返程后如再提异议，我社将不予处理，敬请谅解。</w:t>
            </w:r>
          </w:p>
          <w:p>
            <w:pPr>
              <w:keepNext w:val="0"/>
              <w:keepLines w:val="0"/>
              <w:pageBreakBefore w:val="0"/>
              <w:widowControl/>
              <w:kinsoku/>
              <w:wordWrap/>
              <w:overflowPunct/>
              <w:topLinePunct w:val="0"/>
              <w:autoSpaceDE/>
              <w:autoSpaceDN/>
              <w:bidi w:val="0"/>
              <w:adjustRightInd/>
              <w:snapToGrid/>
              <w:spacing w:line="360" w:lineRule="exact"/>
              <w:ind w:left="-178" w:leftChars="-85" w:right="-195" w:firstLine="103" w:firstLineChars="49"/>
              <w:textAlignment w:val="auto"/>
              <w:outlineLvl w:val="9"/>
              <w:rPr>
                <w:rFonts w:hint="eastAsia" w:ascii="宋体" w:hAnsi="宋体" w:eastAsia="宋体" w:cs="宋体"/>
                <w:b/>
                <w:bCs/>
                <w:kern w:val="0"/>
                <w:sz w:val="21"/>
                <w:szCs w:val="21"/>
              </w:rPr>
            </w:pPr>
          </w:p>
        </w:tc>
      </w:tr>
    </w:tbl>
    <w:p>
      <w:pPr>
        <w:spacing w:line="440" w:lineRule="exact"/>
        <w:ind w:firstLine="3082" w:firstLineChars="1400"/>
        <w:rPr>
          <w:rFonts w:ascii="微软雅黑" w:hAnsi="微软雅黑" w:eastAsia="微软雅黑" w:cs="微软雅黑"/>
          <w:b/>
          <w:sz w:val="22"/>
          <w:szCs w:val="22"/>
        </w:rPr>
      </w:pPr>
      <w:r>
        <w:rPr>
          <w:rFonts w:hint="eastAsia" w:ascii="微软雅黑" w:hAnsi="微软雅黑" w:eastAsia="微软雅黑" w:cs="微软雅黑"/>
          <w:b/>
          <w:sz w:val="22"/>
          <w:szCs w:val="22"/>
          <w:lang w:eastAsia="zh-CN"/>
        </w:rPr>
        <w:t>《旅游购物补充协议书》</w:t>
      </w:r>
    </w:p>
    <w:p>
      <w:pPr>
        <w:spacing w:line="440" w:lineRule="exact"/>
        <w:ind w:left="147" w:right="-166" w:rightChars="-79" w:hanging="147" w:hangingChars="67"/>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甲方（旅游者）：</w:t>
      </w:r>
    </w:p>
    <w:p>
      <w:pPr>
        <w:spacing w:line="440" w:lineRule="exact"/>
        <w:ind w:left="147" w:right="-166" w:rightChars="-79" w:hanging="147" w:hangingChars="67"/>
        <w:rPr>
          <w:rFonts w:ascii="微软雅黑" w:hAnsi="微软雅黑" w:eastAsia="微软雅黑" w:cs="微软雅黑"/>
          <w:color w:val="000000"/>
          <w:sz w:val="22"/>
          <w:szCs w:val="22"/>
          <w:u w:val="thick"/>
        </w:rPr>
      </w:pPr>
      <w:r>
        <w:rPr>
          <w:rFonts w:hint="eastAsia" w:ascii="微软雅黑" w:hAnsi="微软雅黑" w:eastAsia="微软雅黑" w:cs="微软雅黑"/>
          <w:color w:val="000000"/>
          <w:sz w:val="22"/>
          <w:szCs w:val="22"/>
        </w:rPr>
        <w:t xml:space="preserve">乙方（旅行社）： </w:t>
      </w:r>
      <w:r>
        <w:rPr>
          <w:rFonts w:hint="eastAsia" w:ascii="微软雅黑" w:hAnsi="微软雅黑" w:eastAsia="微软雅黑" w:cs="微软雅黑"/>
          <w:color w:val="000000"/>
          <w:sz w:val="22"/>
          <w:szCs w:val="22"/>
          <w:u w:val="thick"/>
        </w:rPr>
        <w:t xml:space="preserve">                                                                                  </w:t>
      </w:r>
    </w:p>
    <w:p>
      <w:pPr>
        <w:spacing w:line="440" w:lineRule="exact"/>
        <w:ind w:left="120" w:leftChars="57" w:right="-166" w:rightChars="-79"/>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lang w:eastAsia="zh-CN"/>
        </w:rPr>
        <w:t>本着公平自愿原则，为最大限度地满足甲方在旅游期间对吃、住、行、游、购、娱的需求，在甲、乙双方已签定</w:t>
      </w:r>
    </w:p>
    <w:p>
      <w:pPr>
        <w:spacing w:line="440" w:lineRule="exact"/>
        <w:ind w:left="120" w:leftChars="57" w:right="-166" w:rightChars="-79"/>
        <w:rPr>
          <w:rFonts w:hint="default" w:ascii="微软雅黑" w:hAnsi="微软雅黑" w:eastAsia="微软雅黑" w:cs="微软雅黑"/>
          <w:color w:val="000000"/>
          <w:sz w:val="22"/>
          <w:szCs w:val="22"/>
          <w:lang w:val="en-US"/>
        </w:rPr>
      </w:pPr>
      <w:r>
        <w:rPr>
          <w:rFonts w:hint="eastAsia" w:ascii="微软雅黑" w:hAnsi="微软雅黑" w:eastAsia="微软雅黑" w:cs="微软雅黑"/>
          <w:color w:val="000000"/>
          <w:sz w:val="22"/>
          <w:szCs w:val="22"/>
          <w:lang w:eastAsia="zh-CN"/>
        </w:rPr>
        <w:t>《国内旅游合同》的基础上，现甲、乙双方就前述旅游合同所约定的《旅游行程单》以外的其他游览项目和内容进行了充分协商，并已达成一致意见，特补充约定如下：</w:t>
      </w:r>
    </w:p>
    <w:tbl>
      <w:tblPr>
        <w:tblStyle w:val="6"/>
        <w:tblW w:w="1031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9"/>
        <w:gridCol w:w="3111"/>
        <w:gridCol w:w="3979"/>
        <w:gridCol w:w="23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10313" w:type="dxa"/>
            <w:gridSpan w:val="4"/>
          </w:tcPr>
          <w:p>
            <w:pPr>
              <w:pStyle w:val="31"/>
              <w:spacing w:line="440" w:lineRule="exact"/>
              <w:ind w:left="147" w:right="-107" w:rightChars="-51" w:hanging="147" w:hangingChars="67"/>
              <w:rPr>
                <w:rFonts w:ascii="微软雅黑" w:hAnsi="微软雅黑" w:cs="微软雅黑"/>
                <w:color w:val="000000"/>
              </w:rPr>
            </w:pPr>
            <w:r>
              <w:rPr>
                <w:rFonts w:hint="eastAsia" w:ascii="微软雅黑" w:hAnsi="微软雅黑" w:cs="微软雅黑"/>
                <w:color w:val="000000"/>
              </w:rPr>
              <w:t>一、购物场所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899" w:type="dxa"/>
          </w:tcPr>
          <w:p>
            <w:pPr>
              <w:spacing w:line="440" w:lineRule="exact"/>
              <w:ind w:left="147" w:right="-107" w:rightChars="-51" w:hanging="147" w:hangingChars="67"/>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日期</w:t>
            </w:r>
          </w:p>
        </w:tc>
        <w:tc>
          <w:tcPr>
            <w:tcW w:w="3111" w:type="dxa"/>
          </w:tcPr>
          <w:p>
            <w:pPr>
              <w:spacing w:line="440" w:lineRule="exact"/>
              <w:ind w:left="147" w:right="-107" w:rightChars="-51" w:hanging="147" w:hangingChars="67"/>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 xml:space="preserve">名称 </w:t>
            </w:r>
          </w:p>
        </w:tc>
        <w:tc>
          <w:tcPr>
            <w:tcW w:w="3979" w:type="dxa"/>
          </w:tcPr>
          <w:p>
            <w:pPr>
              <w:spacing w:line="440" w:lineRule="exact"/>
              <w:ind w:left="147" w:right="-107" w:rightChars="-51" w:hanging="147" w:hangingChars="67"/>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lang w:eastAsia="zh-CN"/>
              </w:rPr>
              <w:t>简介 （主要商品种类 特色等）</w:t>
            </w:r>
          </w:p>
        </w:tc>
        <w:tc>
          <w:tcPr>
            <w:tcW w:w="2324" w:type="dxa"/>
          </w:tcPr>
          <w:p>
            <w:pPr>
              <w:spacing w:line="440" w:lineRule="exact"/>
              <w:ind w:left="147" w:right="-107" w:rightChars="-51" w:hanging="147" w:hangingChars="67"/>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停留时间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899" w:type="dxa"/>
          </w:tcPr>
          <w:p>
            <w:pPr>
              <w:spacing w:line="440" w:lineRule="exact"/>
              <w:ind w:left="147" w:right="-107" w:rightChars="-51" w:hanging="147" w:hangingChars="67"/>
              <w:rPr>
                <w:rFonts w:ascii="微软雅黑" w:hAnsi="微软雅黑" w:eastAsia="微软雅黑" w:cs="微软雅黑"/>
                <w:color w:val="000000"/>
                <w:sz w:val="22"/>
                <w:szCs w:val="22"/>
              </w:rPr>
            </w:pPr>
          </w:p>
        </w:tc>
        <w:tc>
          <w:tcPr>
            <w:tcW w:w="3111" w:type="dxa"/>
          </w:tcPr>
          <w:p>
            <w:pPr>
              <w:spacing w:line="440" w:lineRule="exact"/>
              <w:rPr>
                <w:rFonts w:ascii="微软雅黑" w:hAnsi="微软雅黑" w:eastAsia="微软雅黑" w:cs="微软雅黑"/>
                <w:sz w:val="22"/>
                <w:szCs w:val="22"/>
              </w:rPr>
            </w:pPr>
            <w:r>
              <w:rPr>
                <w:rFonts w:hint="eastAsia" w:ascii="微软雅黑" w:hAnsi="微软雅黑" w:eastAsia="微软雅黑" w:cs="微软雅黑"/>
                <w:sz w:val="22"/>
                <w:szCs w:val="22"/>
                <w:lang w:eastAsia="zh-CN"/>
              </w:rPr>
              <w:t>乳胶</w:t>
            </w:r>
          </w:p>
        </w:tc>
        <w:tc>
          <w:tcPr>
            <w:tcW w:w="3979" w:type="dxa"/>
          </w:tcPr>
          <w:p>
            <w:pPr>
              <w:spacing w:line="440" w:lineRule="exact"/>
              <w:ind w:left="147" w:right="-107" w:rightChars="-51" w:hanging="147" w:hangingChars="67"/>
              <w:rPr>
                <w:rFonts w:hint="eastAsia" w:ascii="微软雅黑" w:hAnsi="微软雅黑" w:eastAsia="微软雅黑" w:cs="微软雅黑"/>
                <w:color w:val="000000"/>
                <w:sz w:val="22"/>
                <w:szCs w:val="22"/>
                <w:lang w:eastAsia="zh-CN"/>
              </w:rPr>
            </w:pPr>
            <w:r>
              <w:rPr>
                <w:rFonts w:hint="eastAsia" w:ascii="微软雅黑" w:hAnsi="微软雅黑" w:eastAsia="微软雅黑" w:cs="微软雅黑"/>
                <w:color w:val="000000"/>
                <w:sz w:val="22"/>
                <w:szCs w:val="22"/>
                <w:lang w:eastAsia="zh-CN"/>
              </w:rPr>
              <w:t>乳胶生活用品</w:t>
            </w:r>
          </w:p>
        </w:tc>
        <w:tc>
          <w:tcPr>
            <w:tcW w:w="2324" w:type="dxa"/>
          </w:tcPr>
          <w:p>
            <w:pPr>
              <w:spacing w:line="440" w:lineRule="exact"/>
              <w:ind w:left="147" w:right="-107" w:rightChars="-51" w:hanging="147" w:hangingChars="67"/>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lang w:eastAsia="zh-CN"/>
              </w:rPr>
              <w:t>120</w:t>
            </w:r>
            <w:r>
              <w:rPr>
                <w:rFonts w:hint="eastAsia" w:ascii="微软雅黑" w:hAnsi="微软雅黑" w:eastAsia="微软雅黑" w:cs="微软雅黑"/>
                <w:color w:val="000000"/>
                <w:sz w:val="22"/>
                <w:szCs w:val="22"/>
              </w:rPr>
              <w:t>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899" w:type="dxa"/>
          </w:tcPr>
          <w:p>
            <w:pPr>
              <w:spacing w:line="440" w:lineRule="exact"/>
              <w:ind w:left="147" w:right="-107" w:rightChars="-51" w:hanging="147" w:hangingChars="67"/>
              <w:rPr>
                <w:rFonts w:ascii="微软雅黑" w:hAnsi="微软雅黑" w:eastAsia="微软雅黑" w:cs="微软雅黑"/>
                <w:color w:val="000000"/>
                <w:sz w:val="22"/>
                <w:szCs w:val="22"/>
              </w:rPr>
            </w:pPr>
          </w:p>
        </w:tc>
        <w:tc>
          <w:tcPr>
            <w:tcW w:w="3111" w:type="dxa"/>
          </w:tcPr>
          <w:p>
            <w:pPr>
              <w:spacing w:line="440" w:lineRule="exact"/>
              <w:rPr>
                <w:rFonts w:ascii="微软雅黑" w:hAnsi="微软雅黑" w:eastAsia="微软雅黑" w:cs="微软雅黑"/>
                <w:color w:val="000000"/>
                <w:sz w:val="22"/>
                <w:szCs w:val="22"/>
              </w:rPr>
            </w:pPr>
            <w:r>
              <w:rPr>
                <w:rFonts w:hint="eastAsia" w:ascii="微软雅黑" w:hAnsi="微软雅黑" w:eastAsia="微软雅黑" w:cs="微软雅黑"/>
                <w:kern w:val="2"/>
                <w:sz w:val="22"/>
                <w:szCs w:val="22"/>
                <w:lang w:val="en-US" w:eastAsia="zh-CN"/>
              </w:rPr>
              <w:t>丝绸</w:t>
            </w:r>
          </w:p>
        </w:tc>
        <w:tc>
          <w:tcPr>
            <w:tcW w:w="3979" w:type="dxa"/>
          </w:tcPr>
          <w:p>
            <w:pPr>
              <w:spacing w:line="440" w:lineRule="exact"/>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lang w:eastAsia="zh-CN"/>
              </w:rPr>
              <w:t>丝绸生活用品</w:t>
            </w:r>
          </w:p>
        </w:tc>
        <w:tc>
          <w:tcPr>
            <w:tcW w:w="2324" w:type="dxa"/>
          </w:tcPr>
          <w:p>
            <w:pPr>
              <w:spacing w:line="440" w:lineRule="exact"/>
              <w:ind w:left="147" w:right="-107" w:rightChars="-51" w:hanging="147" w:hangingChars="67"/>
              <w:jc w:val="center"/>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lang w:eastAsia="zh-CN"/>
              </w:rPr>
              <w:t>9</w:t>
            </w:r>
            <w:r>
              <w:rPr>
                <w:rFonts w:hint="eastAsia" w:ascii="微软雅黑" w:hAnsi="微软雅黑" w:eastAsia="微软雅黑" w:cs="微软雅黑"/>
                <w:color w:val="000000"/>
                <w:sz w:val="22"/>
                <w:szCs w:val="22"/>
              </w:rPr>
              <w:t>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899" w:type="dxa"/>
          </w:tcPr>
          <w:p>
            <w:pPr>
              <w:spacing w:line="440" w:lineRule="exact"/>
              <w:ind w:left="147" w:right="-107" w:rightChars="-51" w:hanging="147" w:hangingChars="67"/>
              <w:rPr>
                <w:rFonts w:ascii="微软雅黑" w:hAnsi="微软雅黑" w:eastAsia="微软雅黑" w:cs="微软雅黑"/>
                <w:color w:val="000000"/>
                <w:sz w:val="22"/>
                <w:szCs w:val="22"/>
              </w:rPr>
            </w:pPr>
          </w:p>
        </w:tc>
        <w:tc>
          <w:tcPr>
            <w:tcW w:w="3111" w:type="dxa"/>
          </w:tcPr>
          <w:p>
            <w:pPr>
              <w:spacing w:line="440" w:lineRule="exact"/>
              <w:rPr>
                <w:rFonts w:ascii="微软雅黑" w:hAnsi="微软雅黑" w:eastAsia="微软雅黑" w:cs="微软雅黑"/>
                <w:kern w:val="2"/>
                <w:sz w:val="22"/>
                <w:szCs w:val="22"/>
                <w:lang w:val="en-US" w:eastAsia="zh-CN"/>
              </w:rPr>
            </w:pPr>
            <w:r>
              <w:rPr>
                <w:rFonts w:hint="eastAsia" w:ascii="微软雅黑" w:hAnsi="微软雅黑" w:eastAsia="微软雅黑" w:cs="微软雅黑"/>
                <w:kern w:val="2"/>
                <w:sz w:val="22"/>
                <w:szCs w:val="22"/>
                <w:lang w:val="en-US" w:eastAsia="zh-CN"/>
              </w:rPr>
              <w:t>玉石或厨具</w:t>
            </w:r>
          </w:p>
        </w:tc>
        <w:tc>
          <w:tcPr>
            <w:tcW w:w="3979" w:type="dxa"/>
          </w:tcPr>
          <w:p>
            <w:pPr>
              <w:spacing w:line="440" w:lineRule="exact"/>
              <w:rPr>
                <w:rFonts w:ascii="微软雅黑" w:hAnsi="微软雅黑" w:eastAsia="微软雅黑" w:cs="微软雅黑"/>
                <w:color w:val="000000"/>
                <w:sz w:val="22"/>
                <w:szCs w:val="22"/>
                <w:lang w:eastAsia="zh-CN"/>
              </w:rPr>
            </w:pPr>
            <w:r>
              <w:rPr>
                <w:rFonts w:hint="eastAsia" w:ascii="微软雅黑" w:hAnsi="微软雅黑" w:eastAsia="微软雅黑" w:cs="微软雅黑"/>
                <w:color w:val="000000"/>
                <w:sz w:val="22"/>
                <w:szCs w:val="22"/>
                <w:lang w:eastAsia="zh-CN"/>
              </w:rPr>
              <w:t>日用品或饰品</w:t>
            </w:r>
          </w:p>
        </w:tc>
        <w:tc>
          <w:tcPr>
            <w:tcW w:w="2324" w:type="dxa"/>
          </w:tcPr>
          <w:p>
            <w:pPr>
              <w:spacing w:line="440" w:lineRule="exact"/>
              <w:ind w:left="147" w:right="-107" w:rightChars="-51" w:hanging="147" w:hangingChars="67"/>
              <w:rPr>
                <w:rFonts w:ascii="微软雅黑" w:hAnsi="微软雅黑" w:eastAsia="微软雅黑" w:cs="微软雅黑"/>
                <w:color w:val="000000"/>
                <w:sz w:val="22"/>
                <w:szCs w:val="22"/>
                <w:lang w:eastAsia="zh-CN"/>
              </w:rPr>
            </w:pPr>
            <w:r>
              <w:rPr>
                <w:rFonts w:hint="eastAsia" w:ascii="微软雅黑" w:hAnsi="微软雅黑" w:eastAsia="微软雅黑" w:cs="微软雅黑"/>
                <w:color w:val="000000"/>
                <w:sz w:val="22"/>
                <w:szCs w:val="22"/>
                <w:lang w:eastAsia="zh-CN"/>
              </w:rPr>
              <w:t xml:space="preserve">       90分钟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899" w:type="dxa"/>
          </w:tcPr>
          <w:p>
            <w:pPr>
              <w:spacing w:line="440" w:lineRule="exact"/>
              <w:ind w:left="147" w:right="-107" w:rightChars="-51" w:hanging="147" w:hangingChars="67"/>
              <w:rPr>
                <w:rFonts w:ascii="微软雅黑" w:hAnsi="微软雅黑" w:eastAsia="微软雅黑" w:cs="微软雅黑"/>
                <w:color w:val="000000"/>
                <w:sz w:val="22"/>
                <w:szCs w:val="22"/>
              </w:rPr>
            </w:pPr>
          </w:p>
        </w:tc>
        <w:tc>
          <w:tcPr>
            <w:tcW w:w="3111" w:type="dxa"/>
          </w:tcPr>
          <w:p>
            <w:pPr>
              <w:spacing w:line="440" w:lineRule="exact"/>
              <w:rPr>
                <w:rFonts w:ascii="微软雅黑" w:hAnsi="微软雅黑" w:eastAsia="微软雅黑" w:cs="微软雅黑"/>
                <w:kern w:val="2"/>
                <w:sz w:val="22"/>
                <w:szCs w:val="22"/>
                <w:lang w:val="en-US" w:eastAsia="zh-CN"/>
              </w:rPr>
            </w:pPr>
            <w:r>
              <w:rPr>
                <w:rFonts w:hint="eastAsia" w:ascii="微软雅黑" w:hAnsi="微软雅黑" w:eastAsia="微软雅黑" w:cs="微软雅黑"/>
                <w:kern w:val="2"/>
                <w:sz w:val="22"/>
                <w:szCs w:val="22"/>
                <w:lang w:val="en-US" w:eastAsia="zh-CN"/>
              </w:rPr>
              <w:t>铁皮石斛或螺旋藻</w:t>
            </w:r>
          </w:p>
        </w:tc>
        <w:tc>
          <w:tcPr>
            <w:tcW w:w="3979" w:type="dxa"/>
          </w:tcPr>
          <w:p>
            <w:pPr>
              <w:spacing w:line="440" w:lineRule="exact"/>
              <w:rPr>
                <w:rFonts w:ascii="微软雅黑" w:hAnsi="微软雅黑" w:eastAsia="微软雅黑" w:cs="微软雅黑"/>
                <w:color w:val="000000"/>
                <w:sz w:val="22"/>
                <w:szCs w:val="22"/>
                <w:lang w:eastAsia="zh-CN"/>
              </w:rPr>
            </w:pPr>
            <w:r>
              <w:rPr>
                <w:rFonts w:hint="eastAsia" w:ascii="微软雅黑" w:hAnsi="微软雅黑" w:eastAsia="微软雅黑" w:cs="微软雅黑"/>
                <w:color w:val="000000"/>
                <w:sz w:val="22"/>
                <w:szCs w:val="22"/>
                <w:lang w:eastAsia="zh-CN"/>
              </w:rPr>
              <w:t>保健品</w:t>
            </w:r>
          </w:p>
        </w:tc>
        <w:tc>
          <w:tcPr>
            <w:tcW w:w="2324" w:type="dxa"/>
          </w:tcPr>
          <w:p>
            <w:pPr>
              <w:spacing w:line="440" w:lineRule="exact"/>
              <w:ind w:left="147" w:right="-107" w:rightChars="-51" w:hanging="147" w:hangingChars="67"/>
              <w:jc w:val="center"/>
              <w:rPr>
                <w:rFonts w:ascii="微软雅黑" w:hAnsi="微软雅黑" w:eastAsia="微软雅黑" w:cs="微软雅黑"/>
                <w:color w:val="000000"/>
                <w:sz w:val="22"/>
                <w:szCs w:val="22"/>
                <w:lang w:eastAsia="zh-CN"/>
              </w:rPr>
            </w:pPr>
            <w:r>
              <w:rPr>
                <w:rFonts w:hint="eastAsia" w:ascii="微软雅黑" w:hAnsi="微软雅黑" w:eastAsia="微软雅黑" w:cs="微软雅黑"/>
                <w:color w:val="000000"/>
                <w:sz w:val="22"/>
                <w:szCs w:val="22"/>
                <w:lang w:eastAsia="zh-CN"/>
              </w:rPr>
              <w:t>90分钟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10313" w:type="dxa"/>
            <w:gridSpan w:val="4"/>
          </w:tcPr>
          <w:p>
            <w:pPr>
              <w:pStyle w:val="31"/>
              <w:spacing w:line="440" w:lineRule="exact"/>
              <w:ind w:left="147" w:right="-107" w:rightChars="-51" w:hanging="147" w:hangingChars="67"/>
              <w:rPr>
                <w:rFonts w:ascii="微软雅黑" w:hAnsi="微软雅黑" w:cs="微软雅黑"/>
                <w:color w:val="000000"/>
              </w:rPr>
            </w:pPr>
            <w:r>
              <w:rPr>
                <w:rFonts w:hint="eastAsia" w:ascii="微软雅黑" w:hAnsi="微软雅黑" w:cs="微软雅黑"/>
                <w:color w:val="000000"/>
              </w:rPr>
              <w:t>购物场所说明；</w:t>
            </w:r>
          </w:p>
          <w:p>
            <w:pPr>
              <w:pStyle w:val="31"/>
              <w:spacing w:line="440" w:lineRule="exact"/>
              <w:ind w:right="-107" w:rightChars="-51" w:firstLine="0" w:firstLineChars="0"/>
              <w:rPr>
                <w:rFonts w:ascii="微软雅黑" w:hAnsi="微软雅黑" w:cs="微软雅黑"/>
                <w:color w:val="000000"/>
              </w:rPr>
            </w:pPr>
            <w:r>
              <w:rPr>
                <w:rFonts w:hint="eastAsia" w:ascii="微软雅黑" w:hAnsi="微软雅黑" w:cs="微软雅黑"/>
                <w:color w:val="000000"/>
              </w:rPr>
              <w:t>1、乙方应甲方要求，在《旅游行程单》安排的甲方自由活动时间内，乙方可安排甲方前往以上购物商店：</w:t>
            </w:r>
          </w:p>
          <w:p>
            <w:pPr>
              <w:pStyle w:val="31"/>
              <w:spacing w:line="440" w:lineRule="exact"/>
              <w:ind w:right="-107" w:rightChars="-51" w:firstLine="0" w:firstLineChars="0"/>
              <w:rPr>
                <w:rFonts w:ascii="微软雅黑" w:hAnsi="微软雅黑" w:cs="微软雅黑"/>
                <w:color w:val="000000"/>
              </w:rPr>
            </w:pPr>
            <w:r>
              <w:rPr>
                <w:rFonts w:hint="eastAsia" w:ascii="微软雅黑" w:hAnsi="微软雅黑" w:cs="微软雅黑"/>
                <w:color w:val="000000"/>
              </w:rPr>
              <w:t>2、乙方绝不强制甲方进店，除本补充协议约定的购物商店以外，乙方不再另行安排其他进店活动。甲方自行在本补充协议约定的购物商店以外所购商品，乙方不承担任何责任。</w:t>
            </w:r>
          </w:p>
          <w:p>
            <w:pPr>
              <w:spacing w:before="100" w:beforeAutospacing="1" w:after="100" w:afterAutospacing="1" w:line="440" w:lineRule="exact"/>
              <w:rPr>
                <w:rFonts w:ascii="微软雅黑" w:hAnsi="微软雅黑" w:eastAsia="微软雅黑" w:cs="微软雅黑"/>
                <w:color w:val="000000"/>
                <w:sz w:val="22"/>
                <w:szCs w:val="22"/>
              </w:rPr>
            </w:pPr>
            <w:r>
              <w:rPr>
                <w:rFonts w:hint="eastAsia" w:ascii="微软雅黑" w:hAnsi="微软雅黑" w:eastAsia="微软雅黑" w:cs="微软雅黑"/>
                <w:bCs/>
                <w:color w:val="000000"/>
                <w:sz w:val="22"/>
                <w:szCs w:val="22"/>
                <w:lang w:eastAsia="zh-CN"/>
              </w:rPr>
              <w:t>3、客人购物时应注意商品质量及价格，并向商家索取正式发票等保护消费者权益的凭证。客人需对购买的商品价格和质量负责。</w:t>
            </w:r>
          </w:p>
          <w:p>
            <w:pPr>
              <w:spacing w:before="100" w:beforeAutospacing="1" w:after="100" w:afterAutospacing="1" w:line="440" w:lineRule="exact"/>
              <w:rPr>
                <w:rFonts w:ascii="微软雅黑" w:hAnsi="微软雅黑" w:eastAsia="微软雅黑" w:cs="微软雅黑"/>
                <w:color w:val="000000"/>
                <w:sz w:val="22"/>
                <w:szCs w:val="22"/>
              </w:rPr>
            </w:pPr>
            <w:r>
              <w:rPr>
                <w:rFonts w:hint="eastAsia" w:ascii="微软雅黑" w:hAnsi="微软雅黑" w:eastAsia="微软雅黑" w:cs="微软雅黑"/>
                <w:bCs/>
                <w:color w:val="000000"/>
                <w:sz w:val="22"/>
                <w:szCs w:val="22"/>
                <w:lang w:eastAsia="zh-CN"/>
              </w:rPr>
              <w:t>4、若选择的购物活动前遇不可抗力或旅行社、履行辅助人已尽合理注意义务仍不能避免的事件的（例如受天气影响或该项目临时关闭），旅行社不予组织安排，双方互免责任。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6" w:hRule="atLeast"/>
        </w:trPr>
        <w:tc>
          <w:tcPr>
            <w:tcW w:w="10313" w:type="dxa"/>
            <w:gridSpan w:val="4"/>
          </w:tcPr>
          <w:p>
            <w:pPr>
              <w:pStyle w:val="31"/>
              <w:spacing w:line="440" w:lineRule="exact"/>
              <w:ind w:left="147" w:right="-107" w:rightChars="-51" w:hanging="147" w:hangingChars="67"/>
              <w:rPr>
                <w:rFonts w:ascii="微软雅黑" w:hAnsi="微软雅黑" w:cs="微软雅黑"/>
                <w:color w:val="000000"/>
              </w:rPr>
            </w:pPr>
            <w:r>
              <w:rPr>
                <w:rFonts w:hint="eastAsia" w:ascii="微软雅黑" w:hAnsi="微软雅黑" w:cs="微软雅黑"/>
                <w:color w:val="000000"/>
              </w:rPr>
              <w:t>补充说明：</w:t>
            </w:r>
          </w:p>
          <w:p>
            <w:pPr>
              <w:pStyle w:val="31"/>
              <w:numPr>
                <w:ilvl w:val="3"/>
                <w:numId w:val="2"/>
              </w:numPr>
              <w:spacing w:line="440" w:lineRule="exact"/>
              <w:ind w:left="147" w:right="-107" w:rightChars="-51" w:hanging="147" w:hangingChars="67"/>
              <w:rPr>
                <w:rFonts w:ascii="微软雅黑" w:hAnsi="微软雅黑" w:cs="微软雅黑"/>
                <w:color w:val="000000"/>
              </w:rPr>
            </w:pPr>
            <w:r>
              <w:rPr>
                <w:rFonts w:hint="eastAsia" w:ascii="微软雅黑" w:hAnsi="微软雅黑" w:cs="微软雅黑"/>
                <w:color w:val="000000"/>
              </w:rPr>
              <w:t>本补充协议为《旅游合同》的组成部分，自甲、乙双方签订之日起生效，其有效期与《旅游合同》有效期一致，同具法律效力。</w:t>
            </w:r>
          </w:p>
          <w:p>
            <w:pPr>
              <w:pStyle w:val="31"/>
              <w:numPr>
                <w:ilvl w:val="3"/>
                <w:numId w:val="2"/>
              </w:numPr>
              <w:spacing w:line="440" w:lineRule="exact"/>
              <w:ind w:left="147" w:right="-107" w:rightChars="-51" w:hanging="147" w:hangingChars="67"/>
              <w:rPr>
                <w:rFonts w:ascii="微软雅黑" w:hAnsi="微软雅黑" w:cs="微软雅黑"/>
                <w:color w:val="000000"/>
              </w:rPr>
            </w:pPr>
            <w:r>
              <w:rPr>
                <w:rFonts w:hint="eastAsia" w:ascii="微软雅黑" w:hAnsi="微软雅黑" w:cs="微软雅黑"/>
                <w:color w:val="000000"/>
              </w:rPr>
              <w:t>本协议一式两份，甲、乙双方各执一份，以备查。</w:t>
            </w:r>
          </w:p>
          <w:p>
            <w:pPr>
              <w:spacing w:before="100" w:beforeAutospacing="1" w:after="100" w:afterAutospacing="1" w:line="440" w:lineRule="exact"/>
              <w:rPr>
                <w:rFonts w:ascii="微软雅黑" w:hAnsi="微软雅黑" w:eastAsia="微软雅黑" w:cs="微软雅黑"/>
                <w:bCs/>
                <w:color w:val="000000"/>
                <w:sz w:val="22"/>
                <w:szCs w:val="22"/>
              </w:rPr>
            </w:pPr>
            <w:r>
              <w:rPr>
                <w:rFonts w:hint="eastAsia" w:ascii="微软雅黑" w:hAnsi="微软雅黑" w:eastAsia="微软雅黑" w:cs="微软雅黑"/>
                <w:bCs/>
                <w:color w:val="000000"/>
                <w:sz w:val="22"/>
                <w:szCs w:val="22"/>
                <w:lang w:eastAsia="zh-CN"/>
              </w:rPr>
              <w:t>3、本确认书自双方签字或盖章之日起生效。</w:t>
            </w:r>
          </w:p>
          <w:p>
            <w:pPr>
              <w:shd w:val="clear" w:color="auto" w:fill="ECECEC"/>
              <w:spacing w:before="100" w:beforeAutospacing="1" w:after="100" w:afterAutospacing="1" w:line="440" w:lineRule="exact"/>
              <w:rPr>
                <w:rFonts w:ascii="微软雅黑" w:hAnsi="微软雅黑" w:eastAsia="微软雅黑" w:cs="微软雅黑"/>
                <w:b/>
                <w:bCs/>
                <w:i/>
                <w:iCs/>
                <w:color w:val="000000"/>
                <w:sz w:val="22"/>
                <w:szCs w:val="22"/>
              </w:rPr>
            </w:pPr>
            <w:r>
              <w:rPr>
                <w:rFonts w:hint="eastAsia" w:ascii="微软雅黑" w:hAnsi="微软雅黑" w:eastAsia="微软雅黑" w:cs="微软雅黑"/>
                <w:b/>
                <w:bCs/>
                <w:i/>
                <w:iCs/>
                <w:color w:val="000000"/>
                <w:sz w:val="22"/>
                <w:szCs w:val="22"/>
                <w:lang w:eastAsia="zh-CN"/>
              </w:rPr>
              <w:t>客人声明：本人及本人代表以上所列参团的全体同行人，对以上条款内容已完全了解和认同，现予以签字确认。</w:t>
            </w:r>
          </w:p>
          <w:p>
            <w:pPr>
              <w:shd w:val="clear" w:color="auto" w:fill="ECECEC"/>
              <w:spacing w:before="100" w:beforeAutospacing="1" w:after="100" w:afterAutospacing="1" w:line="440" w:lineRule="exact"/>
              <w:rPr>
                <w:rFonts w:ascii="微软雅黑" w:hAnsi="微软雅黑" w:eastAsia="微软雅黑" w:cs="微软雅黑"/>
                <w:b/>
                <w:bCs/>
                <w:color w:val="000000"/>
                <w:sz w:val="22"/>
                <w:szCs w:val="22"/>
              </w:rPr>
            </w:pPr>
          </w:p>
        </w:tc>
      </w:tr>
    </w:tbl>
    <w:p>
      <w:pPr>
        <w:rPr>
          <w:rFonts w:ascii="宋体"/>
          <w:b/>
          <w:color w:val="000000"/>
          <w:sz w:val="24"/>
        </w:rPr>
      </w:pPr>
    </w:p>
    <w:sectPr>
      <w:pgSz w:w="11906" w:h="16838"/>
      <w:pgMar w:top="1417" w:right="720" w:bottom="1134" w:left="720"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新宋体">
    <w:panose1 w:val="02010609030101010101"/>
    <w:charset w:val="86"/>
    <w:family w:val="modern"/>
    <w:pitch w:val="default"/>
    <w:sig w:usb0="00000003" w:usb1="288F0000" w:usb2="00000006" w:usb3="00000000" w:csb0="00040001" w:csb1="00000000"/>
  </w:font>
  <w:font w:name="Cambria">
    <w:panose1 w:val="02040503050406030204"/>
    <w:charset w:val="00"/>
    <w:family w:val="roman"/>
    <w:pitch w:val="default"/>
    <w:sig w:usb0="E00002FF" w:usb1="400004FF" w:usb2="0000000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lvl w:ilvl="0" w:tentative="0">
      <w:start w:val="1"/>
      <w:numFmt w:val="decimal"/>
      <w:lvlText w:val="%1."/>
      <w:lvlJc w:val="left"/>
      <w:pPr>
        <w:ind w:left="1080" w:hanging="720"/>
      </w:pPr>
      <w:rPr>
        <w:rFonts w:ascii="Times New Roman" w:hAnsi="Times New Roman" w:eastAsia="Times New Roman" w:cs="Times New Roman"/>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1">
    <w:nsid w:val="5983FC0F"/>
    <w:multiLevelType w:val="singleLevel"/>
    <w:tmpl w:val="5983FC0F"/>
    <w:lvl w:ilvl="0" w:tentative="0">
      <w:start w:val="3"/>
      <w:numFmt w:val="decimal"/>
      <w:suff w:val="nothing"/>
      <w:lvlText w:val="%1."/>
      <w:lvlJc w:val="left"/>
      <w:rPr>
        <w:rFonts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val="1"/>
  <w:embedSystemFonts/>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901081"/>
    <w:rsid w:val="05305B93"/>
    <w:rsid w:val="059830C8"/>
    <w:rsid w:val="05B13E35"/>
    <w:rsid w:val="06EA4725"/>
    <w:rsid w:val="07F03032"/>
    <w:rsid w:val="09C8796B"/>
    <w:rsid w:val="0A875596"/>
    <w:rsid w:val="0C807663"/>
    <w:rsid w:val="0E0B4B65"/>
    <w:rsid w:val="0E1E0E5D"/>
    <w:rsid w:val="0E864AF9"/>
    <w:rsid w:val="12C124FF"/>
    <w:rsid w:val="14F236BF"/>
    <w:rsid w:val="187C512E"/>
    <w:rsid w:val="18DC16A3"/>
    <w:rsid w:val="1C024ED9"/>
    <w:rsid w:val="1D3640AD"/>
    <w:rsid w:val="1ECC5F96"/>
    <w:rsid w:val="1FFF4C1F"/>
    <w:rsid w:val="239F6B8F"/>
    <w:rsid w:val="24665C6D"/>
    <w:rsid w:val="248675BE"/>
    <w:rsid w:val="252F5877"/>
    <w:rsid w:val="261837C3"/>
    <w:rsid w:val="27613B62"/>
    <w:rsid w:val="27F43088"/>
    <w:rsid w:val="29AF6B80"/>
    <w:rsid w:val="2A2D2F6A"/>
    <w:rsid w:val="2B0C41B3"/>
    <w:rsid w:val="2B7A5646"/>
    <w:rsid w:val="2CA20B21"/>
    <w:rsid w:val="2DBB1083"/>
    <w:rsid w:val="2DED60A7"/>
    <w:rsid w:val="305429E4"/>
    <w:rsid w:val="32542122"/>
    <w:rsid w:val="333370AB"/>
    <w:rsid w:val="338213F7"/>
    <w:rsid w:val="3527065A"/>
    <w:rsid w:val="37FD038D"/>
    <w:rsid w:val="389C7FF3"/>
    <w:rsid w:val="3AEE774D"/>
    <w:rsid w:val="3B1203CB"/>
    <w:rsid w:val="3CE07BF4"/>
    <w:rsid w:val="3D2A1300"/>
    <w:rsid w:val="41C73BBC"/>
    <w:rsid w:val="43114BF3"/>
    <w:rsid w:val="434B5665"/>
    <w:rsid w:val="456E02FB"/>
    <w:rsid w:val="47827A48"/>
    <w:rsid w:val="48512058"/>
    <w:rsid w:val="48D96ACD"/>
    <w:rsid w:val="498B5EE4"/>
    <w:rsid w:val="4B1B4948"/>
    <w:rsid w:val="4C0766A2"/>
    <w:rsid w:val="4C6273E6"/>
    <w:rsid w:val="4E81648B"/>
    <w:rsid w:val="4F97674E"/>
    <w:rsid w:val="51083FEF"/>
    <w:rsid w:val="51717BCD"/>
    <w:rsid w:val="53172C44"/>
    <w:rsid w:val="53BB4FF0"/>
    <w:rsid w:val="57761866"/>
    <w:rsid w:val="577F69E8"/>
    <w:rsid w:val="585C10AC"/>
    <w:rsid w:val="5A0E045C"/>
    <w:rsid w:val="5A390DEE"/>
    <w:rsid w:val="5B801CC8"/>
    <w:rsid w:val="5E990DB8"/>
    <w:rsid w:val="5FAC4F73"/>
    <w:rsid w:val="6121658E"/>
    <w:rsid w:val="62F2643B"/>
    <w:rsid w:val="640B407C"/>
    <w:rsid w:val="680A2D26"/>
    <w:rsid w:val="6A297CD0"/>
    <w:rsid w:val="6B3C2050"/>
    <w:rsid w:val="6D93382E"/>
    <w:rsid w:val="6D9F0BDE"/>
    <w:rsid w:val="6F321D37"/>
    <w:rsid w:val="71AC06E0"/>
    <w:rsid w:val="7495778D"/>
    <w:rsid w:val="75311548"/>
    <w:rsid w:val="756C0EF0"/>
    <w:rsid w:val="76C76A8D"/>
    <w:rsid w:val="775D717D"/>
    <w:rsid w:val="798A07AF"/>
    <w:rsid w:val="7A2D7861"/>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qFormat="1" w:unhideWhenUsed="0" w:uiPriority="99"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99" w:semiHidden="0" w:name="Default Paragraph Font"/>
    <w:lsdException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qFormat="1" w:unhideWhenUsed="0" w:uiPriority="99"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14"/>
    <w:qFormat/>
    <w:uiPriority w:val="99"/>
    <w:pPr>
      <w:keepNext/>
      <w:keepLines/>
      <w:spacing w:line="576" w:lineRule="auto"/>
      <w:outlineLvl w:val="0"/>
    </w:pPr>
    <w:rPr>
      <w:b/>
      <w:kern w:val="44"/>
      <w:sz w:val="44"/>
    </w:rPr>
  </w:style>
  <w:style w:type="paragraph" w:styleId="3">
    <w:name w:val="heading 2"/>
    <w:basedOn w:val="1"/>
    <w:next w:val="1"/>
    <w:link w:val="15"/>
    <w:qFormat/>
    <w:uiPriority w:val="99"/>
    <w:pPr>
      <w:keepNext/>
      <w:keepLines/>
      <w:spacing w:line="413" w:lineRule="auto"/>
      <w:outlineLvl w:val="1"/>
    </w:pPr>
    <w:rPr>
      <w:rFonts w:ascii="Arial" w:hAnsi="Arial" w:eastAsia="黑体"/>
      <w:b/>
      <w:sz w:val="32"/>
    </w:rPr>
  </w:style>
  <w:style w:type="character" w:default="1" w:styleId="8">
    <w:name w:val="Default Paragraph Font"/>
    <w:qFormat/>
    <w:uiPriority w:val="99"/>
  </w:style>
  <w:style w:type="table" w:default="1" w:styleId="6">
    <w:name w:val="Normal Table"/>
    <w:qFormat/>
    <w:uiPriority w:val="99"/>
    <w:tblPr>
      <w:tblCellMar>
        <w:top w:w="0" w:type="dxa"/>
        <w:left w:w="108" w:type="dxa"/>
        <w:bottom w:w="0" w:type="dxa"/>
        <w:right w:w="108" w:type="dxa"/>
      </w:tblCellMar>
    </w:tblPr>
  </w:style>
  <w:style w:type="paragraph" w:styleId="4">
    <w:name w:val="Body Text Indent"/>
    <w:basedOn w:val="1"/>
    <w:link w:val="30"/>
    <w:qFormat/>
    <w:uiPriority w:val="99"/>
    <w:pPr>
      <w:spacing w:line="300" w:lineRule="exact"/>
      <w:ind w:left="210" w:hanging="210" w:hangingChars="100"/>
    </w:pPr>
    <w:rPr>
      <w:rFonts w:ascii="新宋体" w:hAnsi="新宋体" w:eastAsia="新宋体"/>
      <w:kern w:val="0"/>
      <w:sz w:val="20"/>
      <w:szCs w:val="20"/>
    </w:rPr>
  </w:style>
  <w:style w:type="paragraph" w:styleId="5">
    <w:name w:val="Normal (Web)"/>
    <w:basedOn w:val="1"/>
    <w:qFormat/>
    <w:uiPriority w:val="99"/>
    <w:rPr>
      <w:rFonts w:ascii="宋体" w:hAnsi="宋体" w:cs="宋体"/>
    </w:rPr>
  </w:style>
  <w:style w:type="table" w:styleId="7">
    <w:name w:val="Table Grid"/>
    <w:basedOn w:val="6"/>
    <w:qFormat/>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9">
    <w:name w:val="Strong"/>
    <w:basedOn w:val="8"/>
    <w:qFormat/>
    <w:uiPriority w:val="99"/>
    <w:rPr>
      <w:rFonts w:cs="Times New Roman"/>
      <w:b/>
      <w:bCs/>
    </w:rPr>
  </w:style>
  <w:style w:type="character" w:styleId="10">
    <w:name w:val="FollowedHyperlink"/>
    <w:basedOn w:val="8"/>
    <w:qFormat/>
    <w:uiPriority w:val="99"/>
    <w:rPr>
      <w:rFonts w:cs="Times New Roman"/>
      <w:color w:val="800080"/>
      <w:u w:val="single"/>
    </w:rPr>
  </w:style>
  <w:style w:type="character" w:styleId="11">
    <w:name w:val="line number"/>
    <w:basedOn w:val="8"/>
    <w:qFormat/>
    <w:uiPriority w:val="99"/>
    <w:rPr>
      <w:rFonts w:cs="Times New Roman"/>
    </w:rPr>
  </w:style>
  <w:style w:type="character" w:styleId="12">
    <w:name w:val="HTML Acronym"/>
    <w:basedOn w:val="11"/>
    <w:qFormat/>
    <w:uiPriority w:val="99"/>
  </w:style>
  <w:style w:type="character" w:styleId="13">
    <w:name w:val="Hyperlink"/>
    <w:basedOn w:val="8"/>
    <w:qFormat/>
    <w:uiPriority w:val="99"/>
    <w:rPr>
      <w:rFonts w:cs="Times New Roman"/>
      <w:color w:val="0000FF"/>
      <w:u w:val="single"/>
    </w:rPr>
  </w:style>
  <w:style w:type="character" w:customStyle="1" w:styleId="14">
    <w:name w:val="Heading 1 Char_8d0e6d54-43c1-4c9f-ab6a-f973a25c63da"/>
    <w:basedOn w:val="8"/>
    <w:link w:val="2"/>
    <w:qFormat/>
    <w:uiPriority w:val="99"/>
    <w:rPr>
      <w:rFonts w:ascii="Calibri" w:hAnsi="Calibri" w:cs="Times New Roman"/>
      <w:b/>
      <w:bCs/>
      <w:kern w:val="44"/>
      <w:sz w:val="44"/>
      <w:szCs w:val="44"/>
    </w:rPr>
  </w:style>
  <w:style w:type="character" w:customStyle="1" w:styleId="15">
    <w:name w:val="Heading 2 Char_55c5b493-b1ba-4c3c-a536-bb4a505e1b19"/>
    <w:basedOn w:val="8"/>
    <w:link w:val="3"/>
    <w:qFormat/>
    <w:uiPriority w:val="99"/>
    <w:rPr>
      <w:rFonts w:ascii="Cambria" w:hAnsi="Cambria" w:eastAsia="宋体" w:cs="Times New Roman"/>
      <w:b/>
      <w:bCs/>
      <w:sz w:val="32"/>
      <w:szCs w:val="32"/>
    </w:rPr>
  </w:style>
  <w:style w:type="character" w:customStyle="1" w:styleId="16">
    <w:name w:val="Body Text Indent Char"/>
    <w:basedOn w:val="8"/>
    <w:link w:val="4"/>
    <w:qFormat/>
    <w:uiPriority w:val="99"/>
    <w:rPr>
      <w:rFonts w:ascii="新宋体" w:hAnsi="新宋体" w:eastAsia="新宋体" w:cs="Times New Roman"/>
    </w:rPr>
  </w:style>
  <w:style w:type="character" w:customStyle="1" w:styleId="17">
    <w:name w:val="star2"/>
    <w:basedOn w:val="8"/>
    <w:qFormat/>
    <w:uiPriority w:val="99"/>
    <w:rPr>
      <w:rFonts w:cs="Times New Roman"/>
    </w:rPr>
  </w:style>
  <w:style w:type="character" w:customStyle="1" w:styleId="18">
    <w:name w:val="star21"/>
    <w:basedOn w:val="8"/>
    <w:qFormat/>
    <w:uiPriority w:val="99"/>
    <w:rPr>
      <w:rFonts w:cs="Times New Roman"/>
    </w:rPr>
  </w:style>
  <w:style w:type="character" w:customStyle="1" w:styleId="19">
    <w:name w:val="star3"/>
    <w:basedOn w:val="8"/>
    <w:qFormat/>
    <w:uiPriority w:val="99"/>
    <w:rPr>
      <w:rFonts w:cs="Times New Roman"/>
    </w:rPr>
  </w:style>
  <w:style w:type="character" w:customStyle="1" w:styleId="20">
    <w:name w:val="star0"/>
    <w:basedOn w:val="8"/>
    <w:qFormat/>
    <w:uiPriority w:val="99"/>
    <w:rPr>
      <w:rFonts w:cs="Times New Roman"/>
    </w:rPr>
  </w:style>
  <w:style w:type="character" w:customStyle="1" w:styleId="21">
    <w:name w:val="star01"/>
    <w:basedOn w:val="8"/>
    <w:qFormat/>
    <w:uiPriority w:val="99"/>
    <w:rPr>
      <w:rFonts w:cs="Times New Roman"/>
    </w:rPr>
  </w:style>
  <w:style w:type="character" w:customStyle="1" w:styleId="22">
    <w:name w:val="star1"/>
    <w:basedOn w:val="8"/>
    <w:qFormat/>
    <w:uiPriority w:val="99"/>
    <w:rPr>
      <w:rFonts w:cs="Times New Roman"/>
    </w:rPr>
  </w:style>
  <w:style w:type="character" w:customStyle="1" w:styleId="23">
    <w:name w:val="star11"/>
    <w:basedOn w:val="8"/>
    <w:qFormat/>
    <w:uiPriority w:val="99"/>
    <w:rPr>
      <w:rFonts w:cs="Times New Roman"/>
    </w:rPr>
  </w:style>
  <w:style w:type="character" w:customStyle="1" w:styleId="24">
    <w:name w:val="star4"/>
    <w:basedOn w:val="8"/>
    <w:qFormat/>
    <w:uiPriority w:val="99"/>
    <w:rPr>
      <w:rFonts w:cs="Times New Roman"/>
    </w:rPr>
  </w:style>
  <w:style w:type="character" w:customStyle="1" w:styleId="25">
    <w:name w:val="star41"/>
    <w:basedOn w:val="8"/>
    <w:qFormat/>
    <w:uiPriority w:val="99"/>
    <w:rPr>
      <w:rFonts w:cs="Times New Roman"/>
    </w:rPr>
  </w:style>
  <w:style w:type="character" w:customStyle="1" w:styleId="26">
    <w:name w:val="star5"/>
    <w:basedOn w:val="8"/>
    <w:qFormat/>
    <w:uiPriority w:val="99"/>
    <w:rPr>
      <w:rFonts w:cs="Times New Roman"/>
    </w:rPr>
  </w:style>
  <w:style w:type="character" w:customStyle="1" w:styleId="27">
    <w:name w:val="star51"/>
    <w:basedOn w:val="8"/>
    <w:qFormat/>
    <w:uiPriority w:val="99"/>
    <w:rPr>
      <w:rFonts w:cs="Times New Roman"/>
    </w:rPr>
  </w:style>
  <w:style w:type="character" w:customStyle="1" w:styleId="28">
    <w:name w:val="star31"/>
    <w:basedOn w:val="8"/>
    <w:qFormat/>
    <w:uiPriority w:val="99"/>
    <w:rPr>
      <w:rFonts w:cs="Times New Roman"/>
    </w:rPr>
  </w:style>
  <w:style w:type="paragraph" w:customStyle="1" w:styleId="29">
    <w:name w:val="列出段落"/>
    <w:basedOn w:val="1"/>
    <w:qFormat/>
    <w:uiPriority w:val="99"/>
    <w:pPr>
      <w:adjustRightInd w:val="0"/>
      <w:snapToGrid w:val="0"/>
      <w:spacing w:after="200"/>
      <w:ind w:firstLine="420" w:firstLineChars="200"/>
    </w:pPr>
    <w:rPr>
      <w:rFonts w:ascii="Tahoma" w:hAnsi="Tahoma" w:eastAsia="微软雅黑"/>
      <w:sz w:val="22"/>
      <w:szCs w:val="22"/>
    </w:rPr>
  </w:style>
  <w:style w:type="character" w:customStyle="1" w:styleId="30">
    <w:name w:val="Body Text Indent Char1"/>
    <w:basedOn w:val="8"/>
    <w:link w:val="4"/>
    <w:qFormat/>
    <w:uiPriority w:val="99"/>
    <w:rPr>
      <w:rFonts w:ascii="Calibri" w:hAnsi="Calibri" w:cs="Times New Roman"/>
      <w:sz w:val="24"/>
      <w:szCs w:val="24"/>
    </w:rPr>
  </w:style>
  <w:style w:type="paragraph" w:customStyle="1" w:styleId="31">
    <w:name w:val="列出段落1"/>
    <w:basedOn w:val="1"/>
    <w:qFormat/>
    <w:uiPriority w:val="0"/>
    <w:pPr>
      <w:adjustRightInd w:val="0"/>
      <w:snapToGrid w:val="0"/>
      <w:spacing w:after="200"/>
      <w:ind w:firstLine="420" w:firstLineChars="200"/>
    </w:pPr>
    <w:rPr>
      <w:rFonts w:ascii="Tahoma" w:hAnsi="Tahoma" w:eastAsia="微软雅黑" w:cstheme="minorBidi"/>
      <w:sz w:val="22"/>
      <w:szCs w:val="22"/>
      <w:lang w:val="en-US"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Pages>7</Pages>
  <Words>6409</Words>
  <Characters>6560</Characters>
  <Paragraphs>130</Paragraphs>
  <TotalTime>1</TotalTime>
  <ScaleCrop>false</ScaleCrop>
  <LinksUpToDate>false</LinksUpToDate>
  <CharactersWithSpaces>6599</CharactersWithSpaces>
  <Application>WPS Office_11.1.0.9175_F1E327BC-269C-435d-A152-05C5408002CA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2018-02-04T07:44:00Z</dcterms:created>
  <dc:creator>Administrator</dc:creator>
  <cp:lastModifiedBy>闽南风康良舒</cp:lastModifiedBy>
  <dcterms:modified xsi:type="dcterms:W3CDTF">2019-11-04T08:38:48Z</dcterms:modified>
  <dc:title>2018年开年巨献---</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2052-11.1.0.9175</vt:lpwstr>
  </property>
</Properties>
</file>