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eastAsia="宋体"/>
          <w:b/>
          <w:color w:val="000000"/>
          <w:sz w:val="32"/>
          <w:szCs w:val="32"/>
          <w:lang w:eastAsia="zh-CN"/>
        </w:rPr>
        <w:sectPr>
          <w:headerReference r:id="rId3" w:type="default"/>
          <w:pgSz w:w="11906" w:h="16838"/>
          <w:pgMar w:top="851" w:right="720" w:bottom="851" w:left="720" w:header="624" w:footer="431" w:gutter="0"/>
          <w:cols w:space="720" w:num="1"/>
          <w:docGrid w:type="lines" w:linePitch="312" w:charSpace="0"/>
        </w:sectPr>
      </w:pPr>
      <w:r>
        <w:rPr>
          <w:rFonts w:hint="eastAsia" w:eastAsia="宋体"/>
          <w:b/>
          <w:color w:val="000000"/>
          <w:sz w:val="32"/>
          <w:szCs w:val="32"/>
          <w:lang w:eastAsia="zh-CN"/>
        </w:rPr>
        <w:drawing>
          <wp:anchor distT="0" distB="0" distL="114300" distR="114300" simplePos="0" relativeHeight="251659264" behindDoc="1" locked="0" layoutInCell="1" allowOverlap="1">
            <wp:simplePos x="0" y="0"/>
            <wp:positionH relativeFrom="column">
              <wp:posOffset>-440055</wp:posOffset>
            </wp:positionH>
            <wp:positionV relativeFrom="paragraph">
              <wp:posOffset>-534035</wp:posOffset>
            </wp:positionV>
            <wp:extent cx="7557770" cy="10689590"/>
            <wp:effectExtent l="0" t="0" r="5080" b="16510"/>
            <wp:wrapNone/>
            <wp:docPr id="1" name="图片 1" descr="惠游皖赣7日游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惠游皖赣7日游word"/>
                    <pic:cNvPicPr>
                      <a:picLocks noChangeAspect="1"/>
                    </pic:cNvPicPr>
                  </pic:nvPicPr>
                  <pic:blipFill>
                    <a:blip r:embed="rId5"/>
                    <a:stretch>
                      <a:fillRect/>
                    </a:stretch>
                  </pic:blipFill>
                  <pic:spPr>
                    <a:xfrm>
                      <a:off x="0" y="0"/>
                      <a:ext cx="7557770" cy="10689590"/>
                    </a:xfrm>
                    <a:prstGeom prst="rect">
                      <a:avLst/>
                    </a:prstGeom>
                  </pic:spPr>
                </pic:pic>
              </a:graphicData>
            </a:graphic>
          </wp:anchor>
        </w:drawing>
      </w:r>
    </w:p>
    <w:p>
      <w:pPr>
        <w:jc w:val="center"/>
        <w:rPr>
          <w:rFonts w:hint="eastAsia" w:eastAsia="宋体"/>
          <w:b/>
          <w:color w:val="000000"/>
          <w:sz w:val="32"/>
          <w:szCs w:val="32"/>
          <w:lang w:eastAsia="zh-CN"/>
        </w:rPr>
        <w:sectPr>
          <w:pgSz w:w="11906" w:h="16838"/>
          <w:pgMar w:top="851" w:right="720" w:bottom="851" w:left="720" w:header="624" w:footer="431" w:gutter="0"/>
          <w:cols w:space="720" w:num="1"/>
          <w:docGrid w:type="lines" w:linePitch="312" w:charSpace="0"/>
        </w:sectPr>
      </w:pPr>
      <w:r>
        <w:rPr>
          <w:rFonts w:hint="eastAsia" w:eastAsia="宋体"/>
          <w:b/>
          <w:color w:val="000000"/>
          <w:sz w:val="32"/>
          <w:szCs w:val="32"/>
          <w:lang w:eastAsia="zh-CN"/>
        </w:rPr>
        <w:drawing>
          <wp:anchor distT="0" distB="0" distL="114300" distR="114300" simplePos="0" relativeHeight="251660288" behindDoc="1" locked="0" layoutInCell="1" allowOverlap="1">
            <wp:simplePos x="0" y="0"/>
            <wp:positionH relativeFrom="column">
              <wp:posOffset>-440055</wp:posOffset>
            </wp:positionH>
            <wp:positionV relativeFrom="paragraph">
              <wp:posOffset>-545465</wp:posOffset>
            </wp:positionV>
            <wp:extent cx="7573645" cy="10712450"/>
            <wp:effectExtent l="0" t="0" r="8255" b="12700"/>
            <wp:wrapNone/>
            <wp:docPr id="2" name="图片 2" descr="惠游皖赣7日游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惠游皖赣7日游word3"/>
                    <pic:cNvPicPr>
                      <a:picLocks noChangeAspect="1"/>
                    </pic:cNvPicPr>
                  </pic:nvPicPr>
                  <pic:blipFill>
                    <a:blip r:embed="rId6"/>
                    <a:stretch>
                      <a:fillRect/>
                    </a:stretch>
                  </pic:blipFill>
                  <pic:spPr>
                    <a:xfrm>
                      <a:off x="0" y="0"/>
                      <a:ext cx="7573645" cy="10712450"/>
                    </a:xfrm>
                    <a:prstGeom prst="rect">
                      <a:avLst/>
                    </a:prstGeom>
                  </pic:spPr>
                </pic:pic>
              </a:graphicData>
            </a:graphic>
          </wp:anchor>
        </w:drawing>
      </w:r>
    </w:p>
    <w:p>
      <w:pPr>
        <w:jc w:val="center"/>
        <w:rPr>
          <w:rFonts w:hint="eastAsia" w:eastAsia="宋体"/>
          <w:b/>
          <w:color w:val="000000"/>
          <w:sz w:val="32"/>
          <w:szCs w:val="32"/>
          <w:lang w:eastAsia="zh-CN"/>
        </w:rPr>
        <w:sectPr>
          <w:pgSz w:w="11906" w:h="16838"/>
          <w:pgMar w:top="851" w:right="720" w:bottom="851" w:left="720" w:header="624" w:footer="431" w:gutter="0"/>
          <w:cols w:space="720" w:num="1"/>
          <w:docGrid w:type="lines" w:linePitch="312" w:charSpace="0"/>
        </w:sectPr>
      </w:pPr>
      <w:r>
        <w:rPr>
          <w:rFonts w:hint="eastAsia" w:eastAsia="宋体"/>
          <w:b/>
          <w:color w:val="000000"/>
          <w:sz w:val="32"/>
          <w:szCs w:val="32"/>
          <w:lang w:eastAsia="zh-CN"/>
        </w:rPr>
        <w:drawing>
          <wp:anchor distT="0" distB="0" distL="114300" distR="114300" simplePos="0" relativeHeight="251661312" behindDoc="1" locked="0" layoutInCell="1" allowOverlap="1">
            <wp:simplePos x="0" y="0"/>
            <wp:positionH relativeFrom="column">
              <wp:posOffset>-451485</wp:posOffset>
            </wp:positionH>
            <wp:positionV relativeFrom="paragraph">
              <wp:posOffset>-544830</wp:posOffset>
            </wp:positionV>
            <wp:extent cx="7557770" cy="10689590"/>
            <wp:effectExtent l="0" t="0" r="5080" b="16510"/>
            <wp:wrapNone/>
            <wp:docPr id="3" name="图片 3" descr="惠游皖赣7日游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惠游皖赣7日游word2"/>
                    <pic:cNvPicPr>
                      <a:picLocks noChangeAspect="1"/>
                    </pic:cNvPicPr>
                  </pic:nvPicPr>
                  <pic:blipFill>
                    <a:blip r:embed="rId7"/>
                    <a:stretch>
                      <a:fillRect/>
                    </a:stretch>
                  </pic:blipFill>
                  <pic:spPr>
                    <a:xfrm>
                      <a:off x="0" y="0"/>
                      <a:ext cx="7557770" cy="10689590"/>
                    </a:xfrm>
                    <a:prstGeom prst="rect">
                      <a:avLst/>
                    </a:prstGeom>
                  </pic:spPr>
                </pic:pic>
              </a:graphicData>
            </a:graphic>
          </wp:anchor>
        </w:drawing>
      </w:r>
    </w:p>
    <w:p>
      <w:pPr>
        <w:jc w:val="center"/>
        <w:rPr>
          <w:rFonts w:hint="eastAsia" w:eastAsia="宋体"/>
          <w:b/>
          <w:color w:val="000000"/>
          <w:sz w:val="32"/>
          <w:szCs w:val="32"/>
          <w:lang w:eastAsia="zh-CN"/>
        </w:rPr>
        <w:sectPr>
          <w:pgSz w:w="11906" w:h="16838"/>
          <w:pgMar w:top="851" w:right="720" w:bottom="851" w:left="720" w:header="624" w:footer="431" w:gutter="0"/>
          <w:cols w:space="720" w:num="1"/>
          <w:docGrid w:type="lines" w:linePitch="312" w:charSpace="0"/>
        </w:sectPr>
      </w:pPr>
      <w:r>
        <w:rPr>
          <w:rFonts w:hint="eastAsia" w:eastAsia="宋体"/>
          <w:b/>
          <w:color w:val="000000"/>
          <w:sz w:val="32"/>
          <w:szCs w:val="32"/>
          <w:lang w:eastAsia="zh-CN"/>
        </w:rPr>
        <w:drawing>
          <wp:anchor distT="0" distB="0" distL="114300" distR="114300" simplePos="0" relativeHeight="251662336" behindDoc="1" locked="0" layoutInCell="1" allowOverlap="1">
            <wp:simplePos x="0" y="0"/>
            <wp:positionH relativeFrom="column">
              <wp:posOffset>-440055</wp:posOffset>
            </wp:positionH>
            <wp:positionV relativeFrom="paragraph">
              <wp:posOffset>-521335</wp:posOffset>
            </wp:positionV>
            <wp:extent cx="7557770" cy="10689590"/>
            <wp:effectExtent l="0" t="0" r="5080" b="16510"/>
            <wp:wrapNone/>
            <wp:docPr id="4" name="图片 4" descr="惠游皖赣7日游wo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惠游皖赣7日游word4"/>
                    <pic:cNvPicPr>
                      <a:picLocks noChangeAspect="1"/>
                    </pic:cNvPicPr>
                  </pic:nvPicPr>
                  <pic:blipFill>
                    <a:blip r:embed="rId8"/>
                    <a:stretch>
                      <a:fillRect/>
                    </a:stretch>
                  </pic:blipFill>
                  <pic:spPr>
                    <a:xfrm>
                      <a:off x="0" y="0"/>
                      <a:ext cx="7557770" cy="10689590"/>
                    </a:xfrm>
                    <a:prstGeom prst="rect">
                      <a:avLst/>
                    </a:prstGeom>
                  </pic:spPr>
                </pic:pic>
              </a:graphicData>
            </a:graphic>
          </wp:anchor>
        </w:drawing>
      </w:r>
    </w:p>
    <w:p>
      <w:pPr>
        <w:jc w:val="center"/>
        <w:rPr>
          <w:rFonts w:hint="eastAsia" w:eastAsia="宋体"/>
          <w:b/>
          <w:color w:val="000000"/>
          <w:sz w:val="32"/>
          <w:szCs w:val="32"/>
          <w:lang w:eastAsia="zh-CN"/>
        </w:rPr>
        <w:sectPr>
          <w:pgSz w:w="11906" w:h="16838"/>
          <w:pgMar w:top="851" w:right="720" w:bottom="851" w:left="720" w:header="624" w:footer="431" w:gutter="0"/>
          <w:cols w:space="720" w:num="1"/>
          <w:docGrid w:type="lines" w:linePitch="312" w:charSpace="0"/>
        </w:sectPr>
      </w:pPr>
      <w:r>
        <w:rPr>
          <w:rFonts w:hint="eastAsia" w:eastAsia="宋体"/>
          <w:b/>
          <w:color w:val="000000"/>
          <w:sz w:val="32"/>
          <w:szCs w:val="32"/>
          <w:lang w:eastAsia="zh-CN"/>
        </w:rPr>
        <w:drawing>
          <wp:anchor distT="0" distB="0" distL="114300" distR="114300" simplePos="0" relativeHeight="251663360" behindDoc="1" locked="0" layoutInCell="1" allowOverlap="1">
            <wp:simplePos x="0" y="0"/>
            <wp:positionH relativeFrom="column">
              <wp:posOffset>-440055</wp:posOffset>
            </wp:positionH>
            <wp:positionV relativeFrom="paragraph">
              <wp:posOffset>-521335</wp:posOffset>
            </wp:positionV>
            <wp:extent cx="7569835" cy="10706735"/>
            <wp:effectExtent l="0" t="0" r="12065" b="18415"/>
            <wp:wrapNone/>
            <wp:docPr id="5" name="图片 5" descr="惠游皖赣7日游wo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惠游皖赣7日游word5"/>
                    <pic:cNvPicPr>
                      <a:picLocks noChangeAspect="1"/>
                    </pic:cNvPicPr>
                  </pic:nvPicPr>
                  <pic:blipFill>
                    <a:blip r:embed="rId9"/>
                    <a:stretch>
                      <a:fillRect/>
                    </a:stretch>
                  </pic:blipFill>
                  <pic:spPr>
                    <a:xfrm>
                      <a:off x="0" y="0"/>
                      <a:ext cx="7569835" cy="10706735"/>
                    </a:xfrm>
                    <a:prstGeom prst="rect">
                      <a:avLst/>
                    </a:prstGeom>
                  </pic:spPr>
                </pic:pic>
              </a:graphicData>
            </a:graphic>
          </wp:anchor>
        </w:drawing>
      </w:r>
    </w:p>
    <w:p>
      <w:pPr>
        <w:jc w:val="center"/>
        <w:rPr>
          <w:rFonts w:hint="eastAsia"/>
          <w:b/>
          <w:color w:val="000000"/>
          <w:sz w:val="32"/>
          <w:szCs w:val="32"/>
        </w:rPr>
      </w:pPr>
      <w:r>
        <w:rPr>
          <w:rFonts w:hint="eastAsia"/>
          <w:b/>
          <w:color w:val="000000"/>
          <w:sz w:val="32"/>
          <w:szCs w:val="32"/>
        </w:rPr>
        <w:t>江西庐山、井冈山、安徽黄山、</w:t>
      </w:r>
      <w:r>
        <w:rPr>
          <w:rFonts w:hint="eastAsia"/>
          <w:b/>
          <w:color w:val="000000"/>
          <w:sz w:val="32"/>
          <w:szCs w:val="32"/>
          <w:lang w:eastAsia="zh-CN"/>
        </w:rPr>
        <w:t>水墨上河</w:t>
      </w:r>
      <w:r>
        <w:rPr>
          <w:rFonts w:hint="eastAsia"/>
          <w:b/>
          <w:color w:val="000000"/>
          <w:sz w:val="32"/>
          <w:szCs w:val="32"/>
        </w:rPr>
        <w:t>、</w:t>
      </w:r>
      <w:r>
        <w:rPr>
          <w:rFonts w:hint="eastAsia"/>
          <w:b/>
          <w:color w:val="000000"/>
          <w:sz w:val="32"/>
          <w:szCs w:val="32"/>
          <w:lang w:eastAsia="zh-CN"/>
        </w:rPr>
        <w:t>鄱阳湖</w:t>
      </w:r>
      <w:r>
        <w:rPr>
          <w:rFonts w:hint="eastAsia"/>
          <w:b/>
          <w:color w:val="000000"/>
          <w:sz w:val="32"/>
          <w:szCs w:val="32"/>
        </w:rPr>
        <w:t>、婺源、景德镇</w:t>
      </w:r>
      <w:r>
        <w:rPr>
          <w:rFonts w:hint="eastAsia"/>
          <w:b/>
          <w:color w:val="000000"/>
          <w:sz w:val="32"/>
          <w:szCs w:val="32"/>
          <w:lang w:val="en-US" w:eastAsia="zh-CN"/>
        </w:rPr>
        <w:t>7</w:t>
      </w:r>
      <w:r>
        <w:rPr>
          <w:rFonts w:hint="eastAsia"/>
          <w:b/>
          <w:color w:val="000000"/>
          <w:sz w:val="32"/>
          <w:szCs w:val="32"/>
        </w:rPr>
        <w:t>日游</w:t>
      </w:r>
    </w:p>
    <w:tbl>
      <w:tblPr>
        <w:tblStyle w:val="7"/>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938"/>
        <w:gridCol w:w="851"/>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日期</w:t>
            </w:r>
          </w:p>
        </w:tc>
        <w:tc>
          <w:tcPr>
            <w:tcW w:w="7938" w:type="dxa"/>
          </w:tcPr>
          <w:p>
            <w:pPr>
              <w:ind w:firstLine="2400" w:firstLineChars="1000"/>
              <w:rPr>
                <w:rFonts w:ascii="宋体" w:hAnsi="宋体"/>
                <w:color w:val="000000"/>
                <w:sz w:val="24"/>
                <w:szCs w:val="24"/>
              </w:rPr>
            </w:pPr>
            <w:r>
              <w:rPr>
                <w:rFonts w:hint="eastAsia" w:ascii="宋体" w:hAnsi="宋体"/>
                <w:color w:val="000000"/>
                <w:sz w:val="24"/>
                <w:szCs w:val="24"/>
              </w:rPr>
              <w:t>行      程</w:t>
            </w:r>
          </w:p>
        </w:tc>
        <w:tc>
          <w:tcPr>
            <w:tcW w:w="851" w:type="dxa"/>
          </w:tcPr>
          <w:p>
            <w:pPr>
              <w:rPr>
                <w:rFonts w:ascii="宋体" w:hAnsi="宋体"/>
                <w:color w:val="000000"/>
                <w:sz w:val="24"/>
                <w:szCs w:val="24"/>
              </w:rPr>
            </w:pPr>
            <w:r>
              <w:rPr>
                <w:rFonts w:hint="eastAsia" w:ascii="宋体" w:hAnsi="宋体"/>
                <w:color w:val="000000"/>
                <w:sz w:val="24"/>
                <w:szCs w:val="24"/>
              </w:rPr>
              <w:t>用 餐</w:t>
            </w:r>
          </w:p>
        </w:tc>
        <w:tc>
          <w:tcPr>
            <w:tcW w:w="1076" w:type="dxa"/>
          </w:tcPr>
          <w:p>
            <w:pPr>
              <w:rPr>
                <w:rFonts w:ascii="宋体" w:hAnsi="宋体"/>
                <w:color w:val="000000"/>
                <w:sz w:val="24"/>
                <w:szCs w:val="24"/>
              </w:rPr>
            </w:pPr>
            <w:r>
              <w:rPr>
                <w:rFonts w:hint="eastAsia" w:ascii="宋体" w:hAnsi="宋体"/>
                <w:color w:val="000000"/>
                <w:sz w:val="24"/>
                <w:szCs w:val="24"/>
              </w:rPr>
              <w:t>住 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D1</w:t>
            </w:r>
          </w:p>
        </w:tc>
        <w:tc>
          <w:tcPr>
            <w:tcW w:w="7938" w:type="dxa"/>
          </w:tcPr>
          <w:p>
            <w:pPr>
              <w:rPr>
                <w:rFonts w:ascii="宋体" w:hAnsi="宋体"/>
                <w:color w:val="000000"/>
                <w:sz w:val="24"/>
                <w:szCs w:val="24"/>
              </w:rPr>
            </w:pPr>
            <w:r>
              <w:rPr>
                <w:rFonts w:hint="eastAsia" w:ascii="宋体" w:hAnsi="宋体"/>
                <w:color w:val="000000"/>
                <w:sz w:val="24"/>
                <w:szCs w:val="24"/>
              </w:rPr>
              <w:t>乘车至昆明，昆明乘飞机飞南昌</w:t>
            </w:r>
          </w:p>
        </w:tc>
        <w:tc>
          <w:tcPr>
            <w:tcW w:w="851" w:type="dxa"/>
          </w:tcPr>
          <w:p>
            <w:pPr>
              <w:rPr>
                <w:rFonts w:ascii="宋体" w:hAnsi="宋体"/>
                <w:color w:val="000000"/>
                <w:sz w:val="24"/>
                <w:szCs w:val="24"/>
              </w:rPr>
            </w:pPr>
            <w:r>
              <w:rPr>
                <w:rFonts w:hint="eastAsia" w:ascii="宋体" w:hAnsi="宋体"/>
                <w:color w:val="000000"/>
                <w:sz w:val="24"/>
                <w:szCs w:val="24"/>
              </w:rPr>
              <w:t>///</w:t>
            </w:r>
          </w:p>
        </w:tc>
        <w:tc>
          <w:tcPr>
            <w:tcW w:w="1076" w:type="dxa"/>
          </w:tcPr>
          <w:p>
            <w:pPr>
              <w:rPr>
                <w:rFonts w:ascii="宋体" w:hAnsi="宋体"/>
                <w:color w:val="000000"/>
                <w:sz w:val="24"/>
                <w:szCs w:val="24"/>
              </w:rPr>
            </w:pPr>
            <w:r>
              <w:rPr>
                <w:rFonts w:hint="eastAsia" w:ascii="宋体" w:hAnsi="宋体"/>
                <w:color w:val="000000"/>
                <w:sz w:val="24"/>
                <w:szCs w:val="24"/>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D2</w:t>
            </w:r>
          </w:p>
        </w:tc>
        <w:tc>
          <w:tcPr>
            <w:tcW w:w="7938" w:type="dxa"/>
          </w:tcPr>
          <w:p>
            <w:pPr>
              <w:rPr>
                <w:rFonts w:ascii="宋体" w:hAnsi="宋体"/>
                <w:color w:val="000000"/>
                <w:sz w:val="24"/>
                <w:szCs w:val="24"/>
              </w:rPr>
            </w:pPr>
            <w:r>
              <w:rPr>
                <w:rFonts w:hint="eastAsia" w:ascii="宋体" w:hAnsi="宋体" w:cs="仿宋"/>
                <w:color w:val="000000"/>
                <w:sz w:val="24"/>
                <w:szCs w:val="24"/>
              </w:rPr>
              <w:t>乘车出发赴革命的摇篮——</w:t>
            </w:r>
            <w:r>
              <w:rPr>
                <w:rFonts w:hint="eastAsia" w:ascii="宋体" w:hAnsi="宋体" w:cs="仿宋"/>
                <w:b/>
                <w:bCs/>
                <w:color w:val="FF0000"/>
                <w:sz w:val="24"/>
                <w:szCs w:val="24"/>
              </w:rPr>
              <w:t>【井冈山】</w:t>
            </w:r>
            <w:r>
              <w:rPr>
                <w:rFonts w:hint="eastAsia" w:ascii="宋体" w:hAnsi="宋体" w:cs="仿宋"/>
                <w:color w:val="000000"/>
                <w:sz w:val="24"/>
                <w:szCs w:val="24"/>
              </w:rPr>
              <w:t>（已含）（车程约4.5小时）沿途观赏红土地的自然风光。井冈山位于湘赣边界、罗霄山脉中段，山势高大，地形复杂）在井冈山标志——</w:t>
            </w:r>
            <w:r>
              <w:rPr>
                <w:rFonts w:hint="eastAsia" w:ascii="宋体" w:hAnsi="宋体" w:cs="仿宋"/>
                <w:b/>
                <w:bCs/>
                <w:color w:val="FF0000"/>
                <w:sz w:val="24"/>
                <w:szCs w:val="24"/>
              </w:rPr>
              <w:t>【红旗雕塑】</w:t>
            </w:r>
            <w:r>
              <w:rPr>
                <w:rFonts w:hint="eastAsia" w:ascii="宋体" w:hAnsi="宋体" w:cs="仿宋"/>
                <w:color w:val="000000"/>
                <w:sz w:val="24"/>
                <w:szCs w:val="24"/>
              </w:rPr>
              <w:t>留影，</w:t>
            </w:r>
            <w:r>
              <w:rPr>
                <w:rFonts w:hint="eastAsia" w:ascii="宋体" w:hAnsi="宋体" w:cs="仿宋"/>
                <w:b/>
                <w:bCs/>
                <w:color w:val="FF0000"/>
                <w:sz w:val="24"/>
                <w:szCs w:val="24"/>
              </w:rPr>
              <w:t>【王佐故居】</w:t>
            </w:r>
            <w:r>
              <w:rPr>
                <w:rFonts w:hint="eastAsia" w:ascii="宋体" w:hAnsi="宋体" w:cs="仿宋"/>
                <w:color w:val="000000"/>
                <w:sz w:val="24"/>
                <w:szCs w:val="24"/>
              </w:rPr>
              <w:t>王佐（1898—1930），又名王云辉，绰号南斗。出生于遂川县下庄村水坑（今井冈山市下庄）一个贫苦农民家庭。裁缝出身。1923年参加绿林武装。1925年所部被地方政府收为新遂边陲保卫团，任副团长、团长，后为躲避地方豪绅追杀，重新恢复了原来队伍。1927年，在遂川县农民协会帮助下，将所部改称农民自卫军，支持遂川农民运动。同年6月，永新的国民党右派发动政变，乃率所部与宁冈、永新、安福等部农民自卫军于7月26日在永新暴动队配合下，攻克永新县城，营救被捕的革命同志，旋任赣西农民自卫军副总指挥。1930年2月，在永新被错杀，中华人民共和国成立后被追认为革命烈士。</w:t>
            </w:r>
            <w:r>
              <w:rPr>
                <w:rFonts w:hint="eastAsia" w:ascii="宋体" w:hAnsi="宋体" w:eastAsia="宋体" w:cs="宋体"/>
                <w:b/>
                <w:bCs/>
                <w:color w:val="FF0000"/>
                <w:kern w:val="0"/>
                <w:sz w:val="21"/>
                <w:szCs w:val="21"/>
                <w:lang w:val="en-US" w:eastAsia="zh-CN" w:bidi="ar-SA"/>
              </w:rPr>
              <w:t>【茨坪毛泽东旧居】</w:t>
            </w:r>
            <w:r>
              <w:rPr>
                <w:rFonts w:hint="eastAsia" w:ascii="宋体" w:hAnsi="宋体" w:eastAsia="宋体" w:cs="宋体"/>
                <w:color w:val="auto"/>
                <w:kern w:val="0"/>
                <w:sz w:val="21"/>
                <w:szCs w:val="21"/>
                <w:lang w:val="en-US" w:eastAsia="zh-CN" w:bidi="ar-SA"/>
              </w:rPr>
              <w:t>1927年10月下旬，毛泽东同志率领秋收起义部队抵达井冈山茨坪后，房东李利昌便腾出此屋的一半给秋收起义部队居住。在这里，他代表</w:t>
            </w:r>
            <w:r>
              <w:rPr>
                <w:rFonts w:hint="eastAsia" w:ascii="宋体" w:hAnsi="宋体" w:eastAsia="宋体" w:cs="宋体"/>
                <w:color w:val="auto"/>
                <w:kern w:val="0"/>
                <w:sz w:val="21"/>
                <w:szCs w:val="21"/>
                <w:lang w:val="en-US" w:eastAsia="zh-CN" w:bidi="ar-SA"/>
              </w:rPr>
              <w:fldChar w:fldCharType="begin"/>
            </w:r>
            <w:r>
              <w:rPr>
                <w:rFonts w:hint="eastAsia" w:ascii="宋体" w:hAnsi="宋体" w:eastAsia="宋体" w:cs="宋体"/>
                <w:color w:val="auto"/>
                <w:kern w:val="0"/>
                <w:sz w:val="21"/>
                <w:szCs w:val="21"/>
                <w:lang w:val="en-US" w:eastAsia="zh-CN" w:bidi="ar-SA"/>
              </w:rPr>
              <w:instrText xml:space="preserve"> HYPERLINK "https://baike.baidu.com/item/%E4%BA%95%E5%86%88%E5%B1%B1" \t "https://baike.baidu.com/item/%E8%8C%A8%E5%9D%AA%E6%AF%9B%E6%B3%BD%E4%B8%9C%E5%90%8C%E5%BF%97%E6%97%A7%E5%B1%85/_blank" </w:instrText>
            </w:r>
            <w:r>
              <w:rPr>
                <w:rFonts w:hint="eastAsia" w:ascii="宋体" w:hAnsi="宋体" w:eastAsia="宋体" w:cs="宋体"/>
                <w:color w:val="auto"/>
                <w:kern w:val="0"/>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井冈山</w:t>
            </w:r>
            <w:r>
              <w:rPr>
                <w:rFonts w:hint="eastAsia" w:ascii="宋体" w:hAnsi="宋体" w:eastAsia="宋体" w:cs="宋体"/>
                <w:color w:val="auto"/>
                <w:kern w:val="0"/>
                <w:sz w:val="21"/>
                <w:szCs w:val="21"/>
                <w:lang w:val="en-US" w:eastAsia="zh-CN" w:bidi="ar-SA"/>
              </w:rPr>
              <w:fldChar w:fldCharType="end"/>
            </w:r>
            <w:r>
              <w:rPr>
                <w:rFonts w:hint="eastAsia" w:ascii="宋体" w:hAnsi="宋体" w:eastAsia="宋体" w:cs="宋体"/>
                <w:color w:val="auto"/>
                <w:kern w:val="0"/>
                <w:sz w:val="21"/>
                <w:szCs w:val="21"/>
                <w:lang w:val="en-US" w:eastAsia="zh-CN" w:bidi="ar-SA"/>
              </w:rPr>
              <w:t>前委起草了《井冈山前委对中央的报告》即《井冈山的斗争》一文，从理论上全面系统地总结了创建井冈山革命根据地的经验，阐明了“工农武装割据”的崭新思想。</w:t>
            </w:r>
          </w:p>
        </w:tc>
        <w:tc>
          <w:tcPr>
            <w:tcW w:w="851" w:type="dxa"/>
          </w:tcPr>
          <w:p>
            <w:pPr>
              <w:rPr>
                <w:rFonts w:hint="eastAsia" w:ascii="宋体" w:hAnsi="宋体"/>
                <w:color w:val="000000"/>
                <w:sz w:val="24"/>
                <w:szCs w:val="24"/>
              </w:rPr>
            </w:pPr>
          </w:p>
          <w:p>
            <w:pPr>
              <w:rPr>
                <w:rFonts w:hint="eastAsia" w:ascii="宋体" w:hAnsi="宋体"/>
                <w:color w:val="000000"/>
                <w:sz w:val="24"/>
                <w:szCs w:val="24"/>
              </w:rPr>
            </w:pPr>
          </w:p>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color w:val="000000"/>
                <w:sz w:val="24"/>
                <w:szCs w:val="24"/>
                <w:lang w:val="en-US" w:eastAsia="zh-CN"/>
              </w:rPr>
            </w:pPr>
            <w:r>
              <w:rPr>
                <w:rFonts w:hint="eastAsia" w:ascii="宋体" w:hAnsi="宋体"/>
                <w:color w:val="000000"/>
                <w:sz w:val="24"/>
                <w:szCs w:val="24"/>
                <w:lang w:val="en-US" w:eastAsia="zh-CN"/>
              </w:rPr>
              <w:t>中</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color w:val="000000"/>
                <w:sz w:val="24"/>
                <w:szCs w:val="24"/>
              </w:rPr>
            </w:pPr>
          </w:p>
          <w:p>
            <w:pPr>
              <w:rPr>
                <w:rFonts w:hint="eastAsia" w:ascii="宋体" w:hAnsi="宋体"/>
                <w:color w:val="000000"/>
                <w:sz w:val="24"/>
                <w:szCs w:val="24"/>
              </w:rPr>
            </w:pPr>
          </w:p>
          <w:p>
            <w:pPr>
              <w:rPr>
                <w:rFonts w:hint="eastAsia" w:ascii="宋体" w:hAnsi="宋体"/>
                <w:color w:val="000000"/>
                <w:sz w:val="24"/>
                <w:szCs w:val="24"/>
              </w:rPr>
            </w:pPr>
          </w:p>
          <w:p>
            <w:pPr>
              <w:rPr>
                <w:rFonts w:hint="eastAsia" w:ascii="宋体" w:hAnsi="宋体" w:eastAsia="宋体"/>
                <w:color w:val="000000"/>
                <w:sz w:val="24"/>
                <w:szCs w:val="24"/>
                <w:lang w:eastAsia="zh-CN"/>
              </w:rPr>
            </w:pPr>
            <w:r>
              <w:rPr>
                <w:rFonts w:hint="eastAsia" w:ascii="宋体" w:hAnsi="宋体"/>
                <w:color w:val="000000"/>
                <w:sz w:val="24"/>
                <w:szCs w:val="24"/>
                <w:lang w:eastAsia="zh-CN"/>
              </w:rPr>
              <w:t>井冈山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D3</w:t>
            </w:r>
          </w:p>
        </w:tc>
        <w:tc>
          <w:tcPr>
            <w:tcW w:w="7938" w:type="dxa"/>
          </w:tcPr>
          <w:p>
            <w:pPr>
              <w:rPr>
                <w:rFonts w:hint="eastAsia" w:ascii="宋体" w:hAnsi="宋体" w:cs="华文宋体"/>
                <w:color w:val="000000" w:themeColor="text1"/>
                <w:kern w:val="0"/>
                <w:sz w:val="24"/>
                <w:szCs w:val="24"/>
                <w14:textFill>
                  <w14:solidFill>
                    <w14:schemeClr w14:val="tx1"/>
                  </w14:solidFill>
                </w14:textFill>
              </w:rPr>
            </w:pPr>
            <w:r>
              <w:rPr>
                <w:rFonts w:hint="eastAsia" w:ascii="宋体" w:hAnsi="宋体" w:cs="仿宋"/>
                <w:sz w:val="24"/>
                <w:szCs w:val="24"/>
              </w:rPr>
              <w:t>瞻仰</w:t>
            </w:r>
            <w:r>
              <w:rPr>
                <w:rFonts w:hint="eastAsia" w:ascii="宋体" w:hAnsi="宋体" w:cs="仿宋"/>
                <w:b/>
                <w:bCs/>
                <w:color w:val="FF0000"/>
                <w:sz w:val="24"/>
                <w:szCs w:val="24"/>
              </w:rPr>
              <w:t>【井冈山革命烈士陵园】</w:t>
            </w:r>
            <w:r>
              <w:rPr>
                <w:rFonts w:hint="eastAsia" w:ascii="宋体" w:hAnsi="宋体" w:cs="仿宋"/>
                <w:sz w:val="24"/>
                <w:szCs w:val="24"/>
              </w:rPr>
              <w:t>（游览时间约1小时左右），吊唁大厅瞻仰烈士遗像，碑林记录领导人物对井冈山的情怀，雕塑园了解井冈山领导人物的丰功伟绩。抵达陵园最高点后参观茨坪全貌，参观井冈山一号工程——</w:t>
            </w:r>
            <w:r>
              <w:rPr>
                <w:rFonts w:hint="eastAsia" w:ascii="宋体" w:hAnsi="宋体" w:cs="仿宋"/>
                <w:b/>
                <w:bCs/>
                <w:color w:val="FF0000"/>
                <w:sz w:val="24"/>
                <w:szCs w:val="24"/>
              </w:rPr>
              <w:t>【井冈山博物馆】</w:t>
            </w:r>
            <w:r>
              <w:rPr>
                <w:rFonts w:hint="eastAsia" w:ascii="宋体" w:hAnsi="宋体" w:cs="仿宋"/>
                <w:sz w:val="24"/>
                <w:szCs w:val="24"/>
              </w:rPr>
              <w:t>（游览时间约1小时左右）该博物馆占地面积1.782公顷，总建筑面积20030平方米，其中展厅面积8436平方米；馆藏文物3万余件，珍贵文献资料和历史图片2万余份，珍藏领导人、著名书画家及社会各界知名人士的墨宝珍迹千余幅。保存毛泽东、朱德等领导人重上井冈山时的影视资料数百件。游览</w:t>
            </w:r>
            <w:r>
              <w:rPr>
                <w:rFonts w:hint="eastAsia" w:ascii="宋体" w:hAnsi="宋体" w:cs="仿宋"/>
                <w:b/>
                <w:bCs/>
                <w:color w:val="FF0000"/>
                <w:sz w:val="24"/>
                <w:szCs w:val="24"/>
              </w:rPr>
              <w:t>【挹翠湖公园】</w:t>
            </w:r>
            <w:r>
              <w:rPr>
                <w:rFonts w:hint="eastAsia" w:ascii="宋体" w:hAnsi="宋体" w:cs="仿宋"/>
                <w:sz w:val="24"/>
                <w:szCs w:val="24"/>
              </w:rPr>
              <w:t>（游览时间约1小时左右）位于茨坪中心，四周为茨坪的林荫大道所环绕，环境十分幽雅，也是憩息和玩赏的极好场所。挹翠湖所在的挹翠湖公园占地面积120余亩，园内有挹翠湖、茶室、亭榭、盆趣园等游赏景点。园内有水面80多亩，湖心岛上山岩谲奇，蕙兰争艳。倚栏小憩，颇有唐代诗人所描绘的“闲云潭影日悠悠”之趣</w:t>
            </w:r>
            <w:r>
              <w:rPr>
                <w:rFonts w:hint="eastAsia" w:ascii="宋体" w:hAnsi="宋体" w:cs="仿宋"/>
                <w:sz w:val="24"/>
                <w:szCs w:val="24"/>
                <w:lang w:eastAsia="zh-CN"/>
              </w:rPr>
              <w:t>，</w:t>
            </w:r>
          </w:p>
          <w:p>
            <w:pPr>
              <w:rPr>
                <w:rFonts w:ascii="宋体" w:hAnsi="宋体"/>
                <w:color w:val="000000"/>
                <w:sz w:val="24"/>
                <w:szCs w:val="24"/>
              </w:rPr>
            </w:pPr>
          </w:p>
        </w:tc>
        <w:tc>
          <w:tcPr>
            <w:tcW w:w="851" w:type="dxa"/>
          </w:tcPr>
          <w:p>
            <w:pPr>
              <w:rPr>
                <w:rFonts w:hint="eastAsia" w:ascii="宋体" w:hAnsi="宋体"/>
                <w:color w:val="000000"/>
                <w:sz w:val="24"/>
                <w:szCs w:val="24"/>
              </w:rPr>
            </w:pPr>
          </w:p>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color w:val="000000"/>
                <w:sz w:val="24"/>
                <w:szCs w:val="24"/>
              </w:rPr>
            </w:pPr>
          </w:p>
          <w:p>
            <w:pPr>
              <w:rPr>
                <w:rFonts w:hint="eastAsia" w:ascii="宋体" w:hAnsi="宋体"/>
                <w:color w:val="000000"/>
                <w:sz w:val="24"/>
                <w:szCs w:val="24"/>
              </w:rPr>
            </w:pPr>
          </w:p>
          <w:p>
            <w:pPr>
              <w:rPr>
                <w:rFonts w:hint="eastAsia" w:ascii="宋体" w:hAnsi="宋体" w:eastAsia="宋体"/>
                <w:color w:val="000000"/>
                <w:sz w:val="24"/>
                <w:szCs w:val="24"/>
                <w:lang w:eastAsia="zh-CN"/>
              </w:rPr>
            </w:pPr>
            <w:r>
              <w:rPr>
                <w:rFonts w:hint="eastAsia" w:ascii="宋体" w:hAnsi="宋体"/>
                <w:color w:val="000000"/>
                <w:sz w:val="24"/>
                <w:szCs w:val="24"/>
                <w:lang w:eastAsia="zh-CN"/>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D4</w:t>
            </w:r>
          </w:p>
        </w:tc>
        <w:tc>
          <w:tcPr>
            <w:tcW w:w="7938" w:type="dxa"/>
          </w:tcPr>
          <w:p>
            <w:pPr>
              <w:rPr>
                <w:rFonts w:ascii="宋体" w:hAnsi="宋体"/>
                <w:color w:val="000000"/>
                <w:sz w:val="24"/>
                <w:szCs w:val="24"/>
              </w:rPr>
            </w:pPr>
            <w:r>
              <w:rPr>
                <w:rFonts w:hint="eastAsia" w:ascii="宋体" w:hAnsi="宋体" w:cs="宋体"/>
                <w:sz w:val="24"/>
                <w:szCs w:val="24"/>
              </w:rPr>
              <w:t>乘车前往中华十大名山、世界文化遗产、中国四大避暑胜地——</w:t>
            </w:r>
            <w:r>
              <w:rPr>
                <w:rFonts w:hint="eastAsia" w:ascii="宋体" w:hAnsi="宋体" w:cs="宋体"/>
                <w:b/>
                <w:bCs w:val="0"/>
                <w:color w:val="FF0000"/>
                <w:sz w:val="24"/>
                <w:szCs w:val="24"/>
              </w:rPr>
              <w:t>【庐山】</w:t>
            </w:r>
            <w:r>
              <w:rPr>
                <w:rFonts w:hint="eastAsia" w:ascii="宋体" w:hAnsi="宋体" w:cs="宋体"/>
                <w:b/>
                <w:bCs w:val="0"/>
                <w:color w:val="FF0000"/>
                <w:sz w:val="24"/>
                <w:szCs w:val="24"/>
                <w:lang w:val="en-US" w:eastAsia="zh-CN"/>
              </w:rPr>
              <w:t>(含门票）</w:t>
            </w:r>
            <w:r>
              <w:rPr>
                <w:rFonts w:hint="eastAsia" w:ascii="宋体" w:hAnsi="宋体" w:cs="宋体"/>
                <w:sz w:val="24"/>
                <w:szCs w:val="24"/>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Cs/>
                <w:sz w:val="24"/>
                <w:szCs w:val="24"/>
              </w:rPr>
              <w:t>美庐】</w:t>
            </w:r>
            <w:r>
              <w:rPr>
                <w:rFonts w:hint="eastAsia" w:ascii="宋体" w:hAnsi="宋体" w:cs="宋体"/>
                <w:sz w:val="24"/>
                <w:szCs w:val="24"/>
              </w:rPr>
              <w:t>（政策闭馆除外），游览观政治风云变幻莫测庐山会议会址（政策闭馆除外），游览</w:t>
            </w:r>
            <w:r>
              <w:rPr>
                <w:rFonts w:hint="eastAsia" w:ascii="宋体" w:hAnsi="宋体" w:cs="宋体"/>
                <w:bCs/>
                <w:sz w:val="24"/>
                <w:szCs w:val="24"/>
              </w:rPr>
              <w:t>【庐山博物馆】</w:t>
            </w:r>
            <w:r>
              <w:rPr>
                <w:rFonts w:hint="eastAsia" w:ascii="宋体" w:hAnsi="宋体" w:cs="宋体"/>
                <w:sz w:val="24"/>
                <w:szCs w:val="24"/>
              </w:rPr>
              <w:t>（周一闭馆，又称庐林一号别墅，曾为毛主席居住场所，紧邻芦林湖风景秀丽）入住酒店。</w:t>
            </w:r>
          </w:p>
        </w:tc>
        <w:tc>
          <w:tcPr>
            <w:tcW w:w="851" w:type="dxa"/>
          </w:tcPr>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color w:val="000000"/>
                <w:sz w:val="24"/>
                <w:szCs w:val="24"/>
              </w:rPr>
            </w:pPr>
          </w:p>
          <w:p>
            <w:pPr>
              <w:rPr>
                <w:rFonts w:hint="eastAsia" w:ascii="宋体" w:hAnsi="宋体" w:eastAsia="宋体"/>
                <w:color w:val="000000"/>
                <w:sz w:val="24"/>
                <w:szCs w:val="24"/>
                <w:lang w:eastAsia="zh-CN"/>
              </w:rPr>
            </w:pPr>
            <w:r>
              <w:rPr>
                <w:rFonts w:hint="eastAsia" w:ascii="宋体" w:hAnsi="宋体"/>
                <w:color w:val="000000"/>
                <w:sz w:val="24"/>
                <w:szCs w:val="24"/>
                <w:lang w:eastAsia="zh-CN"/>
              </w:rPr>
              <w:t>鄱阳湖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D5</w:t>
            </w:r>
          </w:p>
        </w:tc>
        <w:tc>
          <w:tcPr>
            <w:tcW w:w="7938" w:type="dxa"/>
          </w:tcPr>
          <w:p>
            <w:pPr>
              <w:rPr>
                <w:rFonts w:hint="eastAsia" w:ascii="宋体" w:hAnsi="宋体"/>
                <w:sz w:val="24"/>
                <w:szCs w:val="24"/>
              </w:rPr>
            </w:pPr>
          </w:p>
          <w:p>
            <w:pPr>
              <w:rPr>
                <w:rFonts w:hint="eastAsia" w:ascii="宋体" w:hAnsi="宋体"/>
                <w:sz w:val="24"/>
                <w:szCs w:val="24"/>
              </w:rPr>
            </w:pPr>
          </w:p>
          <w:p>
            <w:pPr>
              <w:rPr>
                <w:rFonts w:hint="eastAsia" w:ascii="宋体" w:hAnsi="宋体" w:eastAsia="宋体"/>
                <w:color w:val="000000"/>
                <w:sz w:val="24"/>
                <w:szCs w:val="24"/>
                <w:lang w:eastAsia="zh-CN"/>
              </w:rPr>
            </w:pPr>
            <w:r>
              <w:rPr>
                <w:rFonts w:hint="eastAsia" w:ascii="宋体" w:hAnsi="宋体"/>
                <w:sz w:val="24"/>
                <w:szCs w:val="24"/>
              </w:rPr>
              <w:t>早餐后</w:t>
            </w:r>
            <w:r>
              <w:rPr>
                <w:rFonts w:hint="eastAsia" w:ascii="宋体" w:hAnsi="宋体" w:cs="华文宋体"/>
                <w:bCs/>
                <w:color w:val="000000" w:themeColor="text1"/>
                <w:sz w:val="24"/>
                <w:szCs w:val="24"/>
                <w14:textFill>
                  <w14:solidFill>
                    <w14:schemeClr w14:val="tx1"/>
                  </w14:solidFill>
                </w14:textFill>
              </w:rPr>
              <w:t>赴鄱阳湖，游中国最大淡水湖---</w:t>
            </w:r>
            <w:r>
              <w:rPr>
                <w:rFonts w:hint="eastAsia" w:ascii="宋体" w:hAnsi="宋体" w:cs="华文宋体"/>
                <w:b/>
                <w:bCs w:val="0"/>
                <w:color w:val="FF0000"/>
                <w:sz w:val="24"/>
                <w:szCs w:val="24"/>
              </w:rPr>
              <w:t>【国家5A鄱阳湖国家湿地公园】</w:t>
            </w:r>
            <w:r>
              <w:rPr>
                <w:rFonts w:hint="eastAsia" w:ascii="宋体" w:hAnsi="宋体" w:cs="华文宋体"/>
                <w:bCs/>
                <w:color w:val="FF0000"/>
                <w:sz w:val="24"/>
                <w:szCs w:val="24"/>
              </w:rPr>
              <w:t>（我社赠送门票，不去不退，游船+车费+鱼宴+服务费</w:t>
            </w:r>
            <w:r>
              <w:rPr>
                <w:rFonts w:hint="eastAsia" w:ascii="宋体" w:hAnsi="宋体" w:cs="华文宋体"/>
                <w:bCs/>
                <w:color w:val="FF0000"/>
                <w:sz w:val="24"/>
                <w:szCs w:val="24"/>
                <w:lang w:val="en-US" w:eastAsia="zh-CN"/>
              </w:rPr>
              <w:t>158</w:t>
            </w:r>
            <w:r>
              <w:rPr>
                <w:rFonts w:hint="eastAsia" w:ascii="宋体" w:hAnsi="宋体" w:cs="华文宋体"/>
                <w:bCs/>
                <w:color w:val="FF0000"/>
                <w:sz w:val="24"/>
                <w:szCs w:val="24"/>
              </w:rPr>
              <w:t>元人自费  游船是进入景区的唯一交通，不乘坐无法游览）</w:t>
            </w:r>
            <w:r>
              <w:rPr>
                <w:rFonts w:hint="eastAsia" w:ascii="宋体" w:hAnsi="宋体" w:cs="华文宋体"/>
                <w:bCs/>
                <w:color w:val="000000" w:themeColor="text1"/>
                <w:sz w:val="24"/>
                <w:szCs w:val="24"/>
                <w14:textFill>
                  <w14:solidFill>
                    <w14:schemeClr w14:val="tx1"/>
                  </w14:solidFill>
                </w14:textFill>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赴连锁超市品尝当地特产，自由选购。乘车赴千年瓷都——</w:t>
            </w:r>
            <w:r>
              <w:rPr>
                <w:rFonts w:hint="eastAsia" w:ascii="宋体" w:hAnsi="宋体" w:cs="华文宋体"/>
                <w:b/>
                <w:bCs/>
                <w:color w:val="FF0000"/>
                <w:sz w:val="24"/>
                <w:szCs w:val="24"/>
              </w:rPr>
              <w:t>【景德镇】</w:t>
            </w:r>
            <w:r>
              <w:rPr>
                <w:rFonts w:hint="eastAsia" w:ascii="宋体" w:hAnsi="宋体" w:cs="华文宋体"/>
                <w:bCs/>
                <w:color w:val="000000" w:themeColor="text1"/>
                <w:sz w:val="24"/>
                <w:szCs w:val="24"/>
                <w14:textFill>
                  <w14:solidFill>
                    <w14:schemeClr w14:val="tx1"/>
                  </w14:solidFill>
                </w14:textFill>
              </w:rPr>
              <w:t>是</w:t>
            </w:r>
            <w:r>
              <w:rPr>
                <w:rFonts w:hint="eastAsia" w:ascii="宋体" w:hAnsi="宋体" w:cs="华文宋体"/>
                <w:color w:val="000000" w:themeColor="text1"/>
                <w:sz w:val="24"/>
                <w:szCs w:val="24"/>
                <w14:textFill>
                  <w14:solidFill>
                    <w14:schemeClr w14:val="tx1"/>
                  </w14:solidFill>
                </w14:textFill>
              </w:rPr>
              <w:t>“官窑”</w:t>
            </w:r>
            <w:r>
              <w:rPr>
                <w:rFonts w:hint="eastAsia" w:ascii="宋体" w:hAnsi="宋体" w:cs="华文宋体"/>
                <w:bCs/>
                <w:color w:val="000000" w:themeColor="text1"/>
                <w:sz w:val="24"/>
                <w:szCs w:val="24"/>
                <w14:textFill>
                  <w14:solidFill>
                    <w14:schemeClr w14:val="tx1"/>
                  </w14:solidFill>
                </w14:textFill>
              </w:rPr>
              <w:t>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r>
              <w:rPr>
                <w:rFonts w:hint="eastAsia" w:ascii="宋体" w:hAnsi="宋体" w:cs="华文宋体"/>
                <w:bCs/>
                <w:color w:val="000000" w:themeColor="text1"/>
                <w:sz w:val="24"/>
                <w:szCs w:val="24"/>
                <w:lang w:eastAsia="zh-CN"/>
                <w14:textFill>
                  <w14:solidFill>
                    <w14:schemeClr w14:val="tx1"/>
                  </w14:solidFill>
                </w14:textFill>
              </w:rPr>
              <w:t>游览“活动着的清明上河图”</w:t>
            </w:r>
            <w:r>
              <w:rPr>
                <w:rFonts w:hint="eastAsia" w:ascii="宋体" w:hAnsi="宋体" w:cs="华文宋体"/>
                <w:b/>
                <w:bCs w:val="0"/>
                <w:color w:val="FF0000"/>
                <w:sz w:val="24"/>
                <w:szCs w:val="24"/>
                <w:lang w:eastAsia="zh-CN"/>
              </w:rPr>
              <w:t>【屯溪老街】</w:t>
            </w:r>
            <w:r>
              <w:rPr>
                <w:rFonts w:hint="eastAsia" w:ascii="宋体" w:hAnsi="宋体" w:cs="华文宋体"/>
                <w:bCs/>
                <w:color w:val="000000" w:themeColor="text1"/>
                <w:sz w:val="24"/>
                <w:szCs w:val="24"/>
                <w:lang w:eastAsia="zh-CN"/>
                <w14:textFill>
                  <w14:solidFill>
                    <w14:schemeClr w14:val="tx1"/>
                  </w14:solidFill>
                </w14:textFill>
              </w:rPr>
              <w:t>（送至老街后散团自由活动，自行回酒店，不游览的客人安排车送回酒店），在此您可以领略江南古镇的风韵、感受徽派建筑的精髓，也可驻足在酒肆茶楼小憩，或者在古街上闲逛，自由选购文房四宝、旅游工艺品、土特产等；</w:t>
            </w:r>
          </w:p>
        </w:tc>
        <w:tc>
          <w:tcPr>
            <w:tcW w:w="851" w:type="dxa"/>
          </w:tcPr>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D6</w:t>
            </w:r>
          </w:p>
        </w:tc>
        <w:tc>
          <w:tcPr>
            <w:tcW w:w="7938" w:type="dxa"/>
          </w:tcPr>
          <w:p>
            <w:pPr>
              <w:rPr>
                <w:rFonts w:ascii="宋体" w:hAnsi="宋体"/>
                <w:color w:val="000000"/>
                <w:sz w:val="24"/>
                <w:szCs w:val="24"/>
              </w:rPr>
            </w:pPr>
            <w:r>
              <w:rPr>
                <w:rFonts w:hint="eastAsia" w:ascii="宋体" w:hAnsi="宋体"/>
                <w:sz w:val="24"/>
                <w:szCs w:val="24"/>
              </w:rPr>
              <w:t>早餐后，乘</w:t>
            </w:r>
            <w:r>
              <w:rPr>
                <w:rFonts w:ascii="宋体" w:hAnsi="宋体"/>
                <w:sz w:val="24"/>
                <w:szCs w:val="24"/>
              </w:rPr>
              <w:t>BUS</w:t>
            </w:r>
            <w:r>
              <w:rPr>
                <w:rFonts w:hint="eastAsia" w:ascii="宋体" w:hAnsi="宋体"/>
                <w:sz w:val="24"/>
                <w:szCs w:val="24"/>
              </w:rPr>
              <w:t>赴美丽的</w:t>
            </w:r>
            <w:r>
              <w:rPr>
                <w:rFonts w:hint="eastAsia" w:ascii="宋体" w:hAnsi="宋体"/>
                <w:b/>
                <w:bCs w:val="0"/>
                <w:color w:val="FF0000"/>
                <w:sz w:val="24"/>
                <w:szCs w:val="24"/>
              </w:rPr>
              <w:t>【黄山风景区】</w:t>
            </w:r>
            <w:r>
              <w:rPr>
                <w:rFonts w:hint="eastAsia" w:ascii="宋体" w:hAnsi="宋体" w:cs="宋体"/>
                <w:b/>
                <w:bCs w:val="0"/>
                <w:color w:val="FF0000"/>
                <w:sz w:val="24"/>
                <w:szCs w:val="24"/>
                <w:lang w:val="en-US" w:eastAsia="zh-CN"/>
              </w:rPr>
              <w:t>(含门票）</w:t>
            </w:r>
            <w:r>
              <w:rPr>
                <w:rFonts w:hint="eastAsia" w:ascii="宋体" w:hAnsi="宋体"/>
                <w:color w:val="FF0000"/>
                <w:sz w:val="24"/>
                <w:szCs w:val="24"/>
              </w:rPr>
              <w:t>（索道上</w:t>
            </w:r>
            <w:r>
              <w:rPr>
                <w:rFonts w:ascii="宋体" w:hAnsi="宋体"/>
                <w:color w:val="FF0000"/>
                <w:sz w:val="24"/>
                <w:szCs w:val="24"/>
              </w:rPr>
              <w:t>90</w:t>
            </w:r>
            <w:r>
              <w:rPr>
                <w:rFonts w:hint="eastAsia" w:ascii="宋体" w:hAnsi="宋体"/>
                <w:color w:val="FF0000"/>
                <w:sz w:val="24"/>
                <w:szCs w:val="24"/>
              </w:rPr>
              <w:t>元</w:t>
            </w:r>
            <w:r>
              <w:rPr>
                <w:rFonts w:ascii="宋体" w:hAnsi="宋体"/>
                <w:color w:val="FF0000"/>
                <w:sz w:val="24"/>
                <w:szCs w:val="24"/>
              </w:rPr>
              <w:t>/</w:t>
            </w:r>
            <w:r>
              <w:rPr>
                <w:rFonts w:hint="eastAsia" w:ascii="宋体" w:hAnsi="宋体"/>
                <w:color w:val="FF0000"/>
                <w:sz w:val="24"/>
                <w:szCs w:val="24"/>
              </w:rPr>
              <w:t>人</w:t>
            </w:r>
            <w:r>
              <w:rPr>
                <w:rFonts w:ascii="宋体" w:hAnsi="宋体"/>
                <w:color w:val="FF0000"/>
                <w:sz w:val="24"/>
                <w:szCs w:val="24"/>
              </w:rPr>
              <w:t>+</w:t>
            </w:r>
            <w:r>
              <w:rPr>
                <w:rFonts w:hint="eastAsia" w:ascii="宋体" w:hAnsi="宋体"/>
                <w:color w:val="FF0000"/>
                <w:sz w:val="24"/>
                <w:szCs w:val="24"/>
              </w:rPr>
              <w:t>下</w:t>
            </w:r>
            <w:r>
              <w:rPr>
                <w:rFonts w:ascii="宋体" w:hAnsi="宋体"/>
                <w:color w:val="FF0000"/>
                <w:sz w:val="24"/>
                <w:szCs w:val="24"/>
              </w:rPr>
              <w:t>80</w:t>
            </w:r>
            <w:r>
              <w:rPr>
                <w:rFonts w:hint="eastAsia" w:ascii="宋体" w:hAnsi="宋体"/>
                <w:color w:val="FF0000"/>
                <w:sz w:val="24"/>
                <w:szCs w:val="24"/>
              </w:rPr>
              <w:t>元</w:t>
            </w:r>
            <w:r>
              <w:rPr>
                <w:rFonts w:ascii="宋体" w:hAnsi="宋体"/>
                <w:color w:val="FF0000"/>
                <w:sz w:val="24"/>
                <w:szCs w:val="24"/>
              </w:rPr>
              <w:t>/</w:t>
            </w:r>
            <w:r>
              <w:rPr>
                <w:rFonts w:hint="eastAsia" w:ascii="宋体" w:hAnsi="宋体"/>
                <w:color w:val="FF0000"/>
                <w:sz w:val="24"/>
                <w:szCs w:val="24"/>
              </w:rPr>
              <w:t>人自理）</w:t>
            </w:r>
            <w:r>
              <w:rPr>
                <w:rFonts w:hint="eastAsia" w:ascii="宋体" w:hAnsi="宋体"/>
                <w:sz w:val="24"/>
                <w:szCs w:val="24"/>
              </w:rPr>
              <w:t>，换乘景区小交通</w:t>
            </w:r>
            <w:r>
              <w:rPr>
                <w:rFonts w:hint="eastAsia" w:ascii="宋体" w:hAnsi="宋体"/>
                <w:color w:val="FF0000"/>
                <w:sz w:val="24"/>
                <w:szCs w:val="24"/>
              </w:rPr>
              <w:t>（价值</w:t>
            </w:r>
            <w:r>
              <w:rPr>
                <w:rFonts w:ascii="宋体" w:hAnsi="宋体"/>
                <w:color w:val="FF0000"/>
                <w:sz w:val="24"/>
                <w:szCs w:val="24"/>
              </w:rPr>
              <w:t>38</w:t>
            </w:r>
            <w:r>
              <w:rPr>
                <w:rFonts w:hint="eastAsia" w:ascii="宋体" w:hAnsi="宋体"/>
                <w:color w:val="FF0000"/>
                <w:sz w:val="24"/>
                <w:szCs w:val="24"/>
              </w:rPr>
              <w:t>元</w:t>
            </w:r>
            <w:r>
              <w:rPr>
                <w:rFonts w:ascii="宋体" w:hAnsi="宋体"/>
                <w:color w:val="FF0000"/>
                <w:sz w:val="24"/>
                <w:szCs w:val="24"/>
              </w:rPr>
              <w:t>/</w:t>
            </w:r>
            <w:r>
              <w:rPr>
                <w:rFonts w:hint="eastAsia" w:ascii="宋体" w:hAnsi="宋体"/>
                <w:color w:val="FF0000"/>
                <w:sz w:val="24"/>
                <w:szCs w:val="24"/>
              </w:rPr>
              <w:t>人</w:t>
            </w:r>
            <w:r>
              <w:rPr>
                <w:rFonts w:hint="eastAsia" w:ascii="宋体" w:hAnsi="宋体"/>
                <w:color w:val="FF0000"/>
                <w:sz w:val="24"/>
                <w:szCs w:val="24"/>
                <w:lang w:eastAsia="zh-CN"/>
              </w:rPr>
              <w:t>自理</w:t>
            </w:r>
            <w:r>
              <w:rPr>
                <w:rFonts w:hint="eastAsia" w:ascii="宋体" w:hAnsi="宋体"/>
                <w:color w:val="FF0000"/>
                <w:sz w:val="24"/>
                <w:szCs w:val="24"/>
              </w:rPr>
              <w:t>）</w:t>
            </w:r>
            <w:r>
              <w:rPr>
                <w:rFonts w:hint="eastAsia" w:ascii="宋体" w:hAnsi="宋体"/>
                <w:sz w:val="24"/>
                <w:szCs w:val="24"/>
              </w:rPr>
              <w:t>赴前山慈光阁票房，玉屏索道</w:t>
            </w:r>
            <w:r>
              <w:rPr>
                <w:rFonts w:ascii="宋体" w:hAnsi="宋体"/>
                <w:sz w:val="24"/>
                <w:szCs w:val="24"/>
              </w:rPr>
              <w:t>(8</w:t>
            </w:r>
            <w:r>
              <w:rPr>
                <w:rFonts w:hint="eastAsia" w:ascii="宋体" w:hAnsi="宋体"/>
                <w:sz w:val="24"/>
                <w:szCs w:val="24"/>
              </w:rPr>
              <w:t>分钟</w:t>
            </w:r>
            <w:r>
              <w:rPr>
                <w:rFonts w:ascii="宋体" w:hAnsi="宋体"/>
                <w:sz w:val="24"/>
                <w:szCs w:val="24"/>
              </w:rPr>
              <w:t>)</w:t>
            </w:r>
            <w:r>
              <w:rPr>
                <w:rFonts w:hint="eastAsia" w:ascii="宋体" w:hAnsi="宋体"/>
                <w:sz w:val="24"/>
                <w:szCs w:val="24"/>
              </w:rPr>
              <w:t>上山游览迎客松，玉屏楼景区、远眺天都峰、经黄山第一高峰莲花峰至百步云梯、鳌鱼洞（一线天）、鳌鱼峰、天海，用中餐（自备食品）后登黄山第二高峰</w:t>
            </w:r>
            <w:r>
              <w:rPr>
                <w:rFonts w:ascii="宋体" w:hAnsi="宋体"/>
                <w:sz w:val="24"/>
                <w:szCs w:val="24"/>
              </w:rPr>
              <w:t>—</w:t>
            </w:r>
            <w:r>
              <w:rPr>
                <w:rFonts w:hint="eastAsia" w:ascii="宋体" w:hAnsi="宋体"/>
                <w:sz w:val="24"/>
                <w:szCs w:val="24"/>
              </w:rPr>
              <w:t>光明顶，远眺飞来石，（游览约</w:t>
            </w:r>
            <w:r>
              <w:rPr>
                <w:rFonts w:ascii="宋体" w:hAnsi="宋体"/>
                <w:sz w:val="24"/>
                <w:szCs w:val="24"/>
              </w:rPr>
              <w:t>3.5</w:t>
            </w:r>
            <w:r>
              <w:rPr>
                <w:rFonts w:hint="eastAsia" w:ascii="宋体" w:hAnsi="宋体"/>
                <w:sz w:val="24"/>
                <w:szCs w:val="24"/>
              </w:rPr>
              <w:t>小时）。抵达白鹅岭索道站，乘缆车下山（</w:t>
            </w:r>
            <w:r>
              <w:rPr>
                <w:rFonts w:ascii="宋体" w:hAnsi="宋体"/>
                <w:sz w:val="24"/>
                <w:szCs w:val="24"/>
              </w:rPr>
              <w:t>8</w:t>
            </w:r>
            <w:r>
              <w:rPr>
                <w:rFonts w:hint="eastAsia" w:ascii="宋体" w:hAnsi="宋体"/>
                <w:sz w:val="24"/>
                <w:szCs w:val="24"/>
              </w:rPr>
              <w:t>分钟）。</w:t>
            </w:r>
          </w:p>
        </w:tc>
        <w:tc>
          <w:tcPr>
            <w:tcW w:w="851" w:type="dxa"/>
          </w:tcPr>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eastAsia="宋体"/>
                <w:color w:val="000000"/>
                <w:sz w:val="24"/>
                <w:szCs w:val="24"/>
                <w:lang w:eastAsia="zh-CN"/>
              </w:rPr>
            </w:pPr>
            <w:r>
              <w:rPr>
                <w:rFonts w:hint="eastAsia"/>
                <w:b w:val="0"/>
                <w:bCs w:val="0"/>
                <w:color w:val="auto"/>
                <w:sz w:val="24"/>
                <w:lang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rPr>
                <w:rFonts w:ascii="宋体" w:hAnsi="宋体"/>
                <w:color w:val="000000"/>
                <w:sz w:val="24"/>
                <w:szCs w:val="24"/>
              </w:rPr>
            </w:pPr>
            <w:r>
              <w:rPr>
                <w:rFonts w:hint="eastAsia" w:ascii="宋体" w:hAnsi="宋体"/>
                <w:color w:val="000000"/>
                <w:sz w:val="24"/>
                <w:szCs w:val="24"/>
              </w:rPr>
              <w:t>D7</w:t>
            </w:r>
          </w:p>
        </w:tc>
        <w:tc>
          <w:tcPr>
            <w:tcW w:w="7938" w:type="dxa"/>
          </w:tcPr>
          <w:p>
            <w:pPr>
              <w:rPr>
                <w:rFonts w:hint="eastAsia" w:ascii="宋体" w:hAnsi="宋体"/>
                <w:color w:val="000000"/>
                <w:sz w:val="24"/>
                <w:szCs w:val="24"/>
              </w:rPr>
            </w:pPr>
            <w:r>
              <w:rPr>
                <w:rFonts w:hint="eastAsia" w:ascii="宋体" w:hAnsi="宋体" w:cs="华文宋体"/>
                <w:color w:val="000000" w:themeColor="text1"/>
                <w:kern w:val="0"/>
                <w:sz w:val="24"/>
                <w:szCs w:val="24"/>
                <w14:textFill>
                  <w14:solidFill>
                    <w14:schemeClr w14:val="tx1"/>
                  </w14:solidFill>
                </w14:textFill>
              </w:rPr>
              <w:t>游览山崖上的古民居村、屋顶上的晒秋美景AAAA级景区--</w:t>
            </w:r>
            <w:r>
              <w:rPr>
                <w:rFonts w:hint="eastAsia" w:ascii="宋体" w:hAnsi="宋体" w:cs="华文宋体"/>
                <w:b/>
                <w:bCs/>
                <w:color w:val="FF0000"/>
                <w:kern w:val="0"/>
                <w:sz w:val="24"/>
                <w:szCs w:val="24"/>
              </w:rPr>
              <w:t>【梯田花海•篁 岭】</w:t>
            </w:r>
            <w:r>
              <w:rPr>
                <w:rFonts w:hint="eastAsia" w:ascii="宋体" w:hAnsi="宋体" w:cs="华文宋体"/>
                <w:color w:val="000000" w:themeColor="text1"/>
                <w:kern w:val="0"/>
                <w:sz w:val="24"/>
                <w:szCs w:val="24"/>
                <w14:textFill>
                  <w14:solidFill>
                    <w14:schemeClr w14:val="tx1"/>
                  </w14:solidFill>
                </w14:textFill>
              </w:rPr>
              <w:t>篁岭鲜花小镇、晒秋人家：“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宋体" w:hAnsi="宋体" w:cs="华文宋体"/>
                <w:color w:val="FF0000"/>
                <w:kern w:val="0"/>
                <w:sz w:val="24"/>
                <w:szCs w:val="24"/>
              </w:rPr>
              <w:t>缆车费120元自理）</w:t>
            </w:r>
            <w:r>
              <w:rPr>
                <w:rFonts w:hint="eastAsia" w:ascii="宋体" w:hAnsi="宋体" w:cs="华文宋体"/>
                <w:color w:val="000000" w:themeColor="text1"/>
                <w:kern w:val="0"/>
                <w:sz w:val="24"/>
                <w:szCs w:val="24"/>
                <w14:textFill>
                  <w14:solidFill>
                    <w14:schemeClr w14:val="tx1"/>
                  </w14:solidFill>
                </w14:textFill>
              </w:rPr>
              <w:t>【天街】民居围绕水口呈扇形梯状错落排布，U形村落带您体验南方的“布达拉宫”。徽式商铺林立，前店后坊，一幅流动的缩写版“清明上河图”。家家户户屋顶晒盘云集，绘就出一幅“晒秋人家”风情画。【卧云桥、垒心桥】索桥似玉带将两岸的梯田串接，体验百米高空玻璃栈道。俯看脚下梯田油菜花，感受未有过的油菜花。在观景台上你可以拿出相机拍下美景，走进梯田油菜花感受人在花海中的神话。</w:t>
            </w:r>
            <w:r>
              <w:rPr>
                <w:rFonts w:hint="eastAsia" w:ascii="宋体" w:hAnsi="宋体"/>
                <w:color w:val="000000"/>
                <w:sz w:val="24"/>
                <w:szCs w:val="24"/>
              </w:rPr>
              <w:t>游览</w:t>
            </w:r>
            <w:r>
              <w:rPr>
                <w:rFonts w:hint="eastAsia" w:ascii="宋体" w:hAnsi="宋体"/>
                <w:b/>
                <w:bCs/>
                <w:color w:val="FF0000"/>
                <w:sz w:val="24"/>
                <w:szCs w:val="24"/>
              </w:rPr>
              <w:t>【水墨上河景区】</w:t>
            </w:r>
            <w:r>
              <w:rPr>
                <w:rFonts w:hint="eastAsia" w:ascii="宋体" w:hAnsi="宋体"/>
                <w:color w:val="000000"/>
                <w:sz w:val="24"/>
                <w:szCs w:val="24"/>
              </w:rPr>
              <w:t>（游览约 1 小时）景区以水墨婺源画，清明上河图为意境，以古朴的徽文化为根 基，以清幽宁静的休闲业态为轴线，以艺术创作与交流为内涵，打造一个集旅游、休闲、度假、写生、创作、艺术交流、大型会议接待为一体的文旅产业平台。“古树高低屋，斜阳远近山，林梢烟是似带，村外水如环”便是水墨 上河景区的真实写照。“云雾、斜阳、炊烟，粉墙、黛瓦、翘角，青竹、翠柏、红枫”形成一幅天然的水墨画卷，恰似人们寻觅已久的“梦里老家”景区新增网红项“喊泉”项目：你的嗓门有多高，喷泉就喷多高，最高可达 69 米是时候来挑战下你的肺活量和大嗓门了。</w:t>
            </w:r>
          </w:p>
          <w:p>
            <w:pPr>
              <w:rPr>
                <w:rFonts w:hint="eastAsia" w:ascii="宋体" w:hAnsi="宋体"/>
                <w:color w:val="000000"/>
                <w:sz w:val="24"/>
                <w:szCs w:val="24"/>
                <w:lang w:eastAsia="zh-CN"/>
              </w:rPr>
            </w:pPr>
            <w:r>
              <w:rPr>
                <w:rFonts w:hint="eastAsia" w:ascii="宋体" w:hAnsi="宋体"/>
                <w:sz w:val="24"/>
                <w:szCs w:val="24"/>
              </w:rPr>
              <w:t>乘车前往</w:t>
            </w:r>
            <w:r>
              <w:rPr>
                <w:rFonts w:hint="eastAsia" w:ascii="宋体" w:hAnsi="宋体"/>
                <w:sz w:val="24"/>
                <w:szCs w:val="24"/>
                <w:lang w:eastAsia="zh-CN"/>
              </w:rPr>
              <w:t>南昌</w:t>
            </w:r>
            <w:r>
              <w:rPr>
                <w:rFonts w:hint="eastAsia" w:ascii="宋体" w:hAnsi="宋体"/>
                <w:sz w:val="24"/>
                <w:lang w:eastAsia="zh-CN"/>
              </w:rPr>
              <w:t>机场</w:t>
            </w:r>
            <w:r>
              <w:rPr>
                <w:rFonts w:hint="eastAsia" w:ascii="宋体" w:hAnsi="宋体"/>
                <w:sz w:val="24"/>
              </w:rPr>
              <w:t>，返回昆明，结束行程。</w:t>
            </w:r>
          </w:p>
        </w:tc>
        <w:tc>
          <w:tcPr>
            <w:tcW w:w="851" w:type="dxa"/>
          </w:tcPr>
          <w:p>
            <w:pPr>
              <w:rPr>
                <w:rFonts w:hint="eastAsia" w:ascii="宋体" w:hAnsi="宋体"/>
                <w:color w:val="000000"/>
                <w:sz w:val="24"/>
                <w:szCs w:val="24"/>
              </w:rPr>
            </w:pPr>
            <w:r>
              <w:rPr>
                <w:rFonts w:hint="eastAsia" w:ascii="宋体" w:hAnsi="宋体"/>
                <w:color w:val="000000"/>
                <w:sz w:val="24"/>
                <w:szCs w:val="24"/>
              </w:rPr>
              <w:t>早</w:t>
            </w:r>
          </w:p>
          <w:p>
            <w:pPr>
              <w:rPr>
                <w:rFonts w:hint="eastAsia" w:ascii="宋体" w:hAnsi="宋体" w:eastAsia="宋体"/>
                <w:color w:val="000000"/>
                <w:sz w:val="24"/>
                <w:szCs w:val="24"/>
                <w:lang w:val="en-US" w:eastAsia="zh-CN"/>
              </w:rPr>
            </w:pPr>
            <w:r>
              <w:rPr>
                <w:rFonts w:hint="eastAsia" w:ascii="宋体" w:hAnsi="宋体"/>
                <w:color w:val="000000"/>
                <w:sz w:val="24"/>
                <w:szCs w:val="24"/>
                <w:lang w:val="en-US" w:eastAsia="zh-CN"/>
              </w:rPr>
              <w:t>/</w:t>
            </w:r>
          </w:p>
          <w:p>
            <w:pPr>
              <w:rPr>
                <w:rFonts w:ascii="宋体" w:hAnsi="宋体"/>
                <w:color w:val="000000"/>
                <w:sz w:val="24"/>
                <w:szCs w:val="24"/>
              </w:rPr>
            </w:pPr>
            <w:r>
              <w:rPr>
                <w:rFonts w:hint="eastAsia" w:ascii="宋体" w:hAnsi="宋体"/>
                <w:color w:val="000000"/>
                <w:sz w:val="24"/>
                <w:szCs w:val="24"/>
              </w:rPr>
              <w:t>晚</w:t>
            </w:r>
          </w:p>
        </w:tc>
        <w:tc>
          <w:tcPr>
            <w:tcW w:w="1076" w:type="dxa"/>
          </w:tcPr>
          <w:p>
            <w:pPr>
              <w:rPr>
                <w:rFonts w:hint="eastAsia" w:ascii="宋体" w:hAnsi="宋体" w:eastAsia="宋体"/>
                <w:color w:val="000000"/>
                <w:sz w:val="24"/>
                <w:szCs w:val="24"/>
                <w:lang w:eastAsia="zh-CN"/>
              </w:rPr>
            </w:pPr>
          </w:p>
        </w:tc>
      </w:tr>
    </w:tbl>
    <w:tbl>
      <w:tblPr>
        <w:tblStyle w:val="6"/>
        <w:tblW w:w="10675" w:type="dxa"/>
        <w:tblInd w:w="10" w:type="dxa"/>
        <w:tblLayout w:type="fixed"/>
        <w:tblCellMar>
          <w:top w:w="0" w:type="dxa"/>
          <w:left w:w="108" w:type="dxa"/>
          <w:bottom w:w="0" w:type="dxa"/>
          <w:right w:w="108" w:type="dxa"/>
        </w:tblCellMar>
      </w:tblPr>
      <w:tblGrid>
        <w:gridCol w:w="838"/>
        <w:gridCol w:w="9837"/>
      </w:tblGrid>
      <w:tr>
        <w:tblPrEx>
          <w:tblCellMar>
            <w:top w:w="0" w:type="dxa"/>
            <w:left w:w="108" w:type="dxa"/>
            <w:bottom w:w="0" w:type="dxa"/>
            <w:right w:w="108" w:type="dxa"/>
          </w:tblCellMar>
        </w:tblPrEx>
        <w:trPr>
          <w:trHeight w:val="1597" w:hRule="atLeast"/>
        </w:trPr>
        <w:tc>
          <w:tcPr>
            <w:tcW w:w="838" w:type="dxa"/>
            <w:tcBorders>
              <w:top w:val="single" w:color="008080" w:sz="4" w:space="0"/>
              <w:left w:val="single" w:color="008080" w:sz="4" w:space="0"/>
              <w:bottom w:val="single" w:color="008080" w:sz="4" w:space="0"/>
              <w:right w:val="single" w:color="008080" w:sz="4" w:space="0"/>
            </w:tcBorders>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接待标准</w:t>
            </w:r>
          </w:p>
        </w:tc>
        <w:tc>
          <w:tcPr>
            <w:tcW w:w="9837" w:type="dxa"/>
            <w:tcBorders>
              <w:top w:val="single" w:color="008080" w:sz="4" w:space="0"/>
              <w:left w:val="nil"/>
              <w:bottom w:val="single" w:color="008080" w:sz="4" w:space="0"/>
              <w:right w:val="single" w:color="008080" w:sz="4" w:space="0"/>
            </w:tcBorders>
            <w:noWrap w:val="0"/>
            <w:vAlign w:val="center"/>
          </w:tcPr>
          <w:p>
            <w:pPr>
              <w:snapToGrid w:val="0"/>
              <w:spacing w:line="360" w:lineRule="exact"/>
              <w:ind w:left="900" w:hanging="900" w:hangingChars="450"/>
              <w:rPr>
                <w:rFonts w:ascii="微软雅黑" w:hAnsi="微软雅黑" w:eastAsia="微软雅黑"/>
                <w:sz w:val="20"/>
                <w:szCs w:val="22"/>
              </w:rPr>
            </w:pPr>
            <w:r>
              <w:rPr>
                <w:rFonts w:hint="eastAsia" w:ascii="微软雅黑" w:hAnsi="微软雅黑" w:eastAsia="微软雅黑"/>
                <w:sz w:val="20"/>
                <w:szCs w:val="22"/>
              </w:rPr>
              <w:t>1、住宿：</w:t>
            </w:r>
            <w:r>
              <w:rPr>
                <w:rFonts w:hint="eastAsia" w:ascii="微软雅黑" w:hAnsi="微软雅黑" w:eastAsia="微软雅黑"/>
                <w:sz w:val="20"/>
                <w:szCs w:val="22"/>
                <w:lang w:eastAsia="zh-CN"/>
              </w:rPr>
              <w:t>全程当地三星</w:t>
            </w:r>
            <w:r>
              <w:rPr>
                <w:rFonts w:hint="eastAsia" w:ascii="微软雅黑" w:hAnsi="微软雅黑" w:eastAsia="微软雅黑"/>
                <w:sz w:val="20"/>
                <w:szCs w:val="22"/>
              </w:rPr>
              <w:t>酒店标间</w:t>
            </w:r>
            <w:r>
              <w:rPr>
                <w:rFonts w:hint="eastAsia" w:ascii="微软雅黑" w:hAnsi="微软雅黑" w:eastAsia="微软雅黑"/>
                <w:sz w:val="20"/>
                <w:szCs w:val="22"/>
                <w:lang w:eastAsia="zh-CN"/>
              </w:rPr>
              <w:t>升级</w:t>
            </w:r>
            <w:r>
              <w:rPr>
                <w:rFonts w:hint="eastAsia" w:ascii="微软雅黑" w:hAnsi="微软雅黑" w:eastAsia="微软雅黑"/>
                <w:sz w:val="20"/>
                <w:szCs w:val="22"/>
                <w:lang w:val="en-US" w:eastAsia="zh-CN"/>
              </w:rPr>
              <w:t>2晚当地四星住宿，</w:t>
            </w:r>
            <w:r>
              <w:rPr>
                <w:rFonts w:hint="eastAsia" w:ascii="微软雅黑" w:hAnsi="微软雅黑" w:eastAsia="微软雅黑"/>
                <w:sz w:val="20"/>
                <w:szCs w:val="22"/>
              </w:rPr>
              <w:t>庐山酒店不含空调（若出现单人或单男单女时，需补房差,如酒店有三人房或加床，则不需补房差）行程中的所列酒店仅供参考；</w:t>
            </w:r>
          </w:p>
          <w:p>
            <w:pPr>
              <w:spacing w:line="360" w:lineRule="exact"/>
              <w:ind w:left="900" w:hanging="900" w:hangingChars="450"/>
              <w:rPr>
                <w:rFonts w:ascii="微软雅黑" w:hAnsi="微软雅黑" w:eastAsia="微软雅黑"/>
                <w:color w:val="000000"/>
                <w:sz w:val="21"/>
                <w:szCs w:val="21"/>
                <w:lang w:val="en-US" w:eastAsia="zh-CN"/>
              </w:rPr>
            </w:pPr>
            <w:r>
              <w:rPr>
                <w:rFonts w:hint="eastAsia" w:ascii="微软雅黑" w:hAnsi="微软雅黑" w:eastAsia="微软雅黑"/>
                <w:sz w:val="20"/>
                <w:szCs w:val="22"/>
              </w:rPr>
              <w:t>2、用餐：</w:t>
            </w:r>
            <w:r>
              <w:rPr>
                <w:rFonts w:hint="eastAsia" w:ascii="微软雅黑" w:hAnsi="微软雅黑" w:eastAsia="微软雅黑"/>
                <w:sz w:val="20"/>
                <w:szCs w:val="22"/>
                <w:lang w:val="en-US" w:eastAsia="zh-CN"/>
              </w:rPr>
              <w:t>6</w:t>
            </w:r>
            <w:r>
              <w:rPr>
                <w:rFonts w:hint="eastAsia" w:ascii="微软雅黑" w:hAnsi="微软雅黑" w:eastAsia="微软雅黑"/>
                <w:sz w:val="20"/>
                <w:szCs w:val="22"/>
              </w:rPr>
              <w:t>早</w:t>
            </w:r>
            <w:r>
              <w:rPr>
                <w:rFonts w:hint="eastAsia" w:ascii="微软雅黑" w:hAnsi="微软雅黑" w:eastAsia="微软雅黑"/>
                <w:sz w:val="20"/>
                <w:szCs w:val="22"/>
                <w:lang w:val="en-US" w:eastAsia="zh-CN"/>
              </w:rPr>
              <w:t>7</w:t>
            </w:r>
            <w:r>
              <w:rPr>
                <w:rFonts w:hint="eastAsia" w:ascii="微软雅黑" w:hAnsi="微软雅黑" w:eastAsia="微软雅黑"/>
                <w:color w:val="000000"/>
                <w:sz w:val="20"/>
                <w:szCs w:val="22"/>
              </w:rPr>
              <w:t>正（10人一桌</w:t>
            </w:r>
            <w:r>
              <w:rPr>
                <w:rFonts w:hint="eastAsia" w:ascii="微软雅黑" w:hAnsi="微软雅黑" w:eastAsia="微软雅黑"/>
                <w:color w:val="000000"/>
                <w:sz w:val="20"/>
                <w:szCs w:val="22"/>
                <w:lang w:eastAsia="zh-CN"/>
              </w:rPr>
              <w:t>，</w:t>
            </w:r>
            <w:r>
              <w:rPr>
                <w:rFonts w:hint="eastAsia" w:ascii="微软雅黑" w:hAnsi="微软雅黑" w:eastAsia="微软雅黑"/>
                <w:color w:val="000000"/>
                <w:sz w:val="20"/>
                <w:szCs w:val="22"/>
              </w:rPr>
              <w:t>8菜1汤，若人数不足10人,则减少菜的数量或调整菜单；如不用餐餐费不退）</w:t>
            </w:r>
            <w:r>
              <w:rPr>
                <w:rFonts w:hint="eastAsia" w:ascii="微软雅黑" w:hAnsi="微软雅黑" w:eastAsia="微软雅黑"/>
                <w:sz w:val="21"/>
                <w:szCs w:val="21"/>
              </w:rPr>
              <w:t>未含正餐</w:t>
            </w:r>
            <w:r>
              <w:rPr>
                <w:rFonts w:hint="eastAsia" w:ascii="微软雅黑" w:hAnsi="微软雅黑" w:eastAsia="微软雅黑" w:cs="黑体"/>
                <w:sz w:val="21"/>
                <w:szCs w:val="21"/>
              </w:rPr>
              <w:t>未含正餐可委托导游代订</w:t>
            </w:r>
            <w:r>
              <w:rPr>
                <w:rFonts w:hint="eastAsia" w:ascii="微软雅黑" w:hAnsi="微软雅黑" w:eastAsia="微软雅黑" w:cs="黑体"/>
                <w:sz w:val="21"/>
                <w:szCs w:val="21"/>
                <w:lang w:eastAsia="zh-CN"/>
              </w:rPr>
              <w:t>30</w:t>
            </w:r>
            <w:r>
              <w:rPr>
                <w:rFonts w:hint="eastAsia" w:ascii="微软雅黑" w:hAnsi="微软雅黑" w:eastAsia="微软雅黑" w:cs="黑体"/>
                <w:sz w:val="21"/>
                <w:szCs w:val="21"/>
              </w:rPr>
              <w:t>元人</w:t>
            </w:r>
            <w:r>
              <w:rPr>
                <w:rFonts w:ascii="微软雅黑" w:hAnsi="微软雅黑" w:eastAsia="微软雅黑" w:cs="黑体"/>
                <w:sz w:val="21"/>
                <w:szCs w:val="21"/>
              </w:rPr>
              <w:t>/</w:t>
            </w:r>
            <w:r>
              <w:rPr>
                <w:rFonts w:hint="eastAsia" w:ascii="微软雅黑" w:hAnsi="微软雅黑" w:eastAsia="微软雅黑" w:cs="黑体"/>
                <w:sz w:val="21"/>
                <w:szCs w:val="21"/>
              </w:rPr>
              <w:t>餐</w:t>
            </w:r>
          </w:p>
          <w:p>
            <w:pPr>
              <w:spacing w:line="360" w:lineRule="exact"/>
              <w:rPr>
                <w:rFonts w:hint="eastAsia" w:ascii="微软雅黑" w:hAnsi="微软雅黑" w:eastAsia="微软雅黑"/>
                <w:sz w:val="20"/>
                <w:szCs w:val="22"/>
                <w:lang w:eastAsia="zh-CN"/>
              </w:rPr>
            </w:pPr>
            <w:r>
              <w:rPr>
                <w:rFonts w:hint="eastAsia" w:ascii="微软雅黑" w:hAnsi="微软雅黑" w:eastAsia="微软雅黑"/>
                <w:sz w:val="20"/>
                <w:szCs w:val="22"/>
              </w:rPr>
              <w:t>3、门票：</w:t>
            </w:r>
            <w:r>
              <w:rPr>
                <w:rFonts w:hint="eastAsia" w:ascii="微软雅黑" w:hAnsi="微软雅黑" w:eastAsia="微软雅黑"/>
                <w:sz w:val="20"/>
                <w:szCs w:val="22"/>
                <w:lang w:eastAsia="zh-CN"/>
              </w:rPr>
              <w:t>含</w:t>
            </w:r>
            <w:r>
              <w:rPr>
                <w:rFonts w:hint="eastAsia" w:ascii="微软雅黑" w:hAnsi="微软雅黑" w:eastAsia="微软雅黑"/>
                <w:sz w:val="20"/>
                <w:szCs w:val="22"/>
              </w:rPr>
              <w:t>行程所列景点第一大门票，</w:t>
            </w:r>
            <w:r>
              <w:rPr>
                <w:rFonts w:hint="eastAsia" w:ascii="微软雅黑" w:hAnsi="微软雅黑" w:eastAsia="微软雅黑"/>
                <w:sz w:val="20"/>
                <w:szCs w:val="22"/>
                <w:lang w:eastAsia="zh-CN"/>
              </w:rPr>
              <w:t>（无年龄层次优惠</w:t>
            </w:r>
            <w:bookmarkStart w:id="0" w:name="_GoBack"/>
            <w:bookmarkEnd w:id="0"/>
            <w:r>
              <w:rPr>
                <w:rFonts w:hint="eastAsia" w:ascii="微软雅黑" w:hAnsi="微软雅黑" w:eastAsia="微软雅黑"/>
                <w:sz w:val="20"/>
                <w:szCs w:val="22"/>
                <w:lang w:eastAsia="zh-CN"/>
              </w:rPr>
              <w:t>）</w:t>
            </w:r>
            <w:r>
              <w:rPr>
                <w:rFonts w:hint="eastAsia" w:ascii="微软雅黑" w:hAnsi="微软雅黑" w:eastAsia="微软雅黑"/>
                <w:sz w:val="20"/>
                <w:szCs w:val="22"/>
              </w:rPr>
              <w:t>；</w:t>
            </w:r>
            <w:r>
              <w:rPr>
                <w:rFonts w:hint="eastAsia" w:ascii="微软雅黑" w:hAnsi="微软雅黑" w:eastAsia="微软雅黑"/>
                <w:sz w:val="20"/>
                <w:szCs w:val="22"/>
                <w:lang w:eastAsia="zh-CN"/>
              </w:rPr>
              <w:t>其余索道景交自理</w:t>
            </w:r>
          </w:p>
          <w:p>
            <w:pPr>
              <w:spacing w:line="360" w:lineRule="exact"/>
              <w:rPr>
                <w:rFonts w:ascii="微软雅黑" w:hAnsi="微软雅黑" w:eastAsia="微软雅黑"/>
                <w:sz w:val="20"/>
                <w:szCs w:val="22"/>
              </w:rPr>
            </w:pPr>
            <w:r>
              <w:rPr>
                <w:rFonts w:hint="eastAsia" w:ascii="微软雅黑" w:hAnsi="微软雅黑" w:eastAsia="微软雅黑"/>
                <w:sz w:val="20"/>
                <w:szCs w:val="22"/>
              </w:rPr>
              <w:t>4、交通：</w:t>
            </w:r>
            <w:r>
              <w:rPr>
                <w:rFonts w:hint="eastAsia" w:ascii="微软雅黑" w:hAnsi="微软雅黑" w:eastAsia="微软雅黑"/>
                <w:color w:val="000000"/>
                <w:sz w:val="20"/>
                <w:szCs w:val="22"/>
              </w:rPr>
              <w:t>当地全程空调旅游车（按人数定车型保证一人一正座）；</w:t>
            </w:r>
          </w:p>
          <w:p>
            <w:pPr>
              <w:spacing w:line="360" w:lineRule="exact"/>
              <w:ind w:left="900" w:hanging="900" w:hangingChars="450"/>
              <w:rPr>
                <w:rFonts w:ascii="微软雅黑" w:hAnsi="微软雅黑" w:eastAsia="微软雅黑"/>
                <w:sz w:val="20"/>
                <w:szCs w:val="22"/>
              </w:rPr>
            </w:pPr>
            <w:r>
              <w:rPr>
                <w:rFonts w:hint="eastAsia" w:ascii="微软雅黑" w:hAnsi="微软雅黑" w:eastAsia="微软雅黑"/>
                <w:sz w:val="20"/>
                <w:szCs w:val="22"/>
              </w:rPr>
              <w:t>5、导游：行程中所安排导游为持有国家导游资格证，从业经验的优秀人员；</w:t>
            </w:r>
          </w:p>
          <w:p>
            <w:pPr>
              <w:spacing w:line="360" w:lineRule="exact"/>
              <w:rPr>
                <w:rFonts w:hint="eastAsia" w:ascii="微软雅黑" w:hAnsi="微软雅黑" w:eastAsia="微软雅黑"/>
                <w:sz w:val="20"/>
                <w:szCs w:val="22"/>
              </w:rPr>
            </w:pPr>
            <w:r>
              <w:rPr>
                <w:rFonts w:hint="eastAsia" w:ascii="微软雅黑" w:hAnsi="微软雅黑" w:eastAsia="微软雅黑"/>
                <w:sz w:val="20"/>
                <w:szCs w:val="22"/>
              </w:rPr>
              <w:t>6、安全：含旅行社责任险，</w:t>
            </w:r>
            <w:r>
              <w:rPr>
                <w:rFonts w:hint="eastAsia" w:ascii="微软雅黑" w:hAnsi="微软雅黑" w:eastAsia="微软雅黑"/>
                <w:color w:val="000000"/>
                <w:sz w:val="20"/>
                <w:szCs w:val="22"/>
              </w:rPr>
              <w:t>保额￥10万元/人</w:t>
            </w:r>
            <w:r>
              <w:rPr>
                <w:rFonts w:hint="eastAsia" w:ascii="微软雅黑" w:hAnsi="微软雅黑" w:eastAsia="微软雅黑"/>
                <w:sz w:val="20"/>
                <w:szCs w:val="22"/>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15" w:leftChars="0" w:right="0" w:rightChars="0"/>
              <w:textAlignment w:val="auto"/>
              <w:outlineLvl w:val="9"/>
              <w:rPr>
                <w:rFonts w:hint="eastAsia" w:ascii="宋体" w:hAnsi="宋体" w:cs="宋体"/>
                <w:b/>
                <w:bCs/>
                <w:color w:val="FF0000"/>
                <w:sz w:val="28"/>
                <w:szCs w:val="28"/>
                <w:lang w:val="en-US" w:eastAsia="zh-CN"/>
              </w:rPr>
            </w:pPr>
            <w:r>
              <w:rPr>
                <w:rFonts w:hint="eastAsia" w:ascii="宋体" w:hAnsi="宋体" w:cs="宋体"/>
                <w:b/>
                <w:bCs/>
                <w:color w:val="FF0000"/>
                <w:sz w:val="28"/>
                <w:szCs w:val="28"/>
                <w:lang w:val="en-US" w:eastAsia="zh-CN"/>
              </w:rPr>
              <w:t>全程进3个店：艾叶/厨具/丝绸/保健品/牛皮席5选3</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15" w:leftChars="0" w:right="0" w:rightChars="0"/>
              <w:textAlignment w:val="auto"/>
              <w:outlineLvl w:val="9"/>
              <w:rPr>
                <w:rFonts w:hint="eastAsia" w:ascii="微软雅黑" w:hAnsi="微软雅黑" w:eastAsia="微软雅黑"/>
                <w:sz w:val="20"/>
                <w:szCs w:val="22"/>
                <w:lang w:eastAsia="zh-CN"/>
              </w:rPr>
            </w:pPr>
            <w:r>
              <w:rPr>
                <w:rFonts w:hint="eastAsia" w:ascii="宋体" w:hAnsi="宋体" w:cs="宋体"/>
                <w:b/>
                <w:bCs/>
                <w:color w:val="FF0000"/>
                <w:sz w:val="28"/>
                <w:szCs w:val="28"/>
                <w:lang w:val="en-US" w:eastAsia="zh-CN"/>
              </w:rPr>
              <w:t>收客年龄28-69，2-8人同组，非年龄段+300元/人,75岁以上不收</w:t>
            </w:r>
          </w:p>
        </w:tc>
      </w:tr>
      <w:tr>
        <w:tblPrEx>
          <w:tblCellMar>
            <w:top w:w="0" w:type="dxa"/>
            <w:left w:w="108" w:type="dxa"/>
            <w:bottom w:w="0" w:type="dxa"/>
            <w:right w:w="108" w:type="dxa"/>
          </w:tblCellMar>
        </w:tblPrEx>
        <w:trPr>
          <w:trHeight w:val="1597" w:hRule="atLeast"/>
        </w:trPr>
        <w:tc>
          <w:tcPr>
            <w:tcW w:w="10675" w:type="dxa"/>
            <w:gridSpan w:val="2"/>
            <w:tcBorders>
              <w:top w:val="single" w:color="008080" w:sz="4" w:space="0"/>
              <w:left w:val="single" w:color="008080" w:sz="4" w:space="0"/>
              <w:bottom w:val="single" w:color="008080" w:sz="4" w:space="0"/>
              <w:right w:val="single" w:color="008080" w:sz="4" w:space="0"/>
            </w:tcBorders>
            <w:noWrap w:val="0"/>
            <w:vAlign w:val="center"/>
          </w:tcPr>
          <w:tbl>
            <w:tblPr>
              <w:tblStyle w:val="7"/>
              <w:tblW w:w="10740" w:type="dxa"/>
              <w:jc w:val="center"/>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Layout w:type="fixed"/>
              <w:tblCellMar>
                <w:top w:w="0" w:type="dxa"/>
                <w:left w:w="108" w:type="dxa"/>
                <w:bottom w:w="0" w:type="dxa"/>
                <w:right w:w="108" w:type="dxa"/>
              </w:tblCellMar>
            </w:tblPr>
            <w:tblGrid>
              <w:gridCol w:w="2747"/>
              <w:gridCol w:w="2747"/>
              <w:gridCol w:w="5246"/>
            </w:tblGrid>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jc w:val="center"/>
              </w:trPr>
              <w:tc>
                <w:tcPr>
                  <w:tcW w:w="10740" w:type="dxa"/>
                  <w:gridSpan w:val="3"/>
                  <w:shd w:val="clear" w:color="auto" w:fill="984806"/>
                  <w:noWrap w:val="0"/>
                  <w:vAlign w:val="top"/>
                </w:tcPr>
                <w:p>
                  <w:pPr>
                    <w:pStyle w:val="14"/>
                    <w:numPr>
                      <w:ilvl w:val="0"/>
                      <w:numId w:val="1"/>
                    </w:numPr>
                    <w:ind w:firstLineChars="0"/>
                    <w:rPr>
                      <w:b/>
                      <w:bCs/>
                      <w:color w:val="FFFF00"/>
                      <w:sz w:val="28"/>
                      <w:szCs w:val="28"/>
                    </w:rPr>
                  </w:pPr>
                  <w:r>
                    <w:rPr>
                      <w:rFonts w:hint="eastAsia"/>
                      <w:b/>
                      <w:bCs/>
                      <w:color w:val="FFFF00"/>
                      <w:sz w:val="28"/>
                      <w:szCs w:val="28"/>
                    </w:rPr>
                    <w:t>门票索道自理详情</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trHeight w:val="129" w:hRule="atLeast"/>
                <w:jc w:val="center"/>
              </w:trPr>
              <w:tc>
                <w:tcPr>
                  <w:tcW w:w="10740" w:type="dxa"/>
                  <w:gridSpan w:val="3"/>
                  <w:noWrap w:val="0"/>
                  <w:vAlign w:val="top"/>
                </w:tcPr>
                <w:p>
                  <w:pPr>
                    <w:jc w:val="center"/>
                  </w:pP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shd w:val="clear" w:color="auto" w:fill="FEF1E6"/>
                  <w:noWrap w:val="0"/>
                  <w:vAlign w:val="top"/>
                </w:tcPr>
                <w:p>
                  <w:pPr>
                    <w:jc w:val="center"/>
                  </w:pPr>
                  <w:r>
                    <w:rPr>
                      <w:rFonts w:hint="eastAsia"/>
                      <w:b/>
                      <w:bCs/>
                      <w:sz w:val="24"/>
                      <w:szCs w:val="24"/>
                    </w:rPr>
                    <w:t>索道</w:t>
                  </w:r>
                  <w:r>
                    <w:rPr>
                      <w:rFonts w:hint="eastAsia"/>
                      <w:b/>
                      <w:bCs/>
                      <w:sz w:val="24"/>
                      <w:szCs w:val="24"/>
                      <w:lang w:eastAsia="zh-CN"/>
                    </w:rPr>
                    <w:t>景交</w:t>
                  </w:r>
                  <w:r>
                    <w:rPr>
                      <w:rFonts w:hint="eastAsia"/>
                      <w:b/>
                      <w:bCs/>
                      <w:sz w:val="24"/>
                      <w:szCs w:val="24"/>
                    </w:rPr>
                    <w:t>详情</w:t>
                  </w:r>
                </w:p>
              </w:tc>
              <w:tc>
                <w:tcPr>
                  <w:tcW w:w="2747" w:type="dxa"/>
                  <w:shd w:val="clear" w:color="auto" w:fill="FEF1E6"/>
                  <w:noWrap w:val="0"/>
                  <w:vAlign w:val="top"/>
                </w:tcPr>
                <w:p>
                  <w:pPr>
                    <w:jc w:val="center"/>
                    <w:rPr>
                      <w:rFonts w:hint="eastAsia" w:eastAsia="宋体"/>
                      <w:lang w:eastAsia="zh-CN"/>
                    </w:rPr>
                  </w:pPr>
                  <w:r>
                    <w:rPr>
                      <w:rFonts w:hint="eastAsia"/>
                      <w:b/>
                      <w:bCs/>
                      <w:sz w:val="24"/>
                      <w:szCs w:val="24"/>
                      <w:lang w:eastAsia="zh-CN"/>
                    </w:rPr>
                    <w:t>全年龄段</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rPr>
                      <w:rFonts w:hint="eastAsia" w:eastAsia="宋体"/>
                      <w:sz w:val="24"/>
                      <w:szCs w:val="24"/>
                      <w:lang w:eastAsia="zh-CN"/>
                    </w:rPr>
                  </w:pPr>
                  <w:r>
                    <w:rPr>
                      <w:rFonts w:hint="eastAsia"/>
                      <w:sz w:val="24"/>
                      <w:szCs w:val="24"/>
                      <w:lang w:eastAsia="zh-CN"/>
                    </w:rPr>
                    <w:t>庐山景交</w:t>
                  </w:r>
                </w:p>
              </w:tc>
              <w:tc>
                <w:tcPr>
                  <w:tcW w:w="2747" w:type="dxa"/>
                  <w:noWrap w:val="0"/>
                  <w:vAlign w:val="top"/>
                </w:tcPr>
                <w:p>
                  <w:pPr>
                    <w:jc w:val="center"/>
                    <w:rPr>
                      <w:rFonts w:hint="default" w:eastAsia="宋体"/>
                      <w:sz w:val="24"/>
                      <w:szCs w:val="24"/>
                      <w:lang w:val="en-US" w:eastAsia="zh-CN"/>
                    </w:rPr>
                  </w:pPr>
                  <w:r>
                    <w:rPr>
                      <w:rFonts w:hint="eastAsia"/>
                      <w:sz w:val="24"/>
                      <w:szCs w:val="24"/>
                      <w:lang w:val="en-US" w:eastAsia="zh-CN"/>
                    </w:rPr>
                    <w:t>90</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rPr>
                      <w:sz w:val="24"/>
                      <w:szCs w:val="24"/>
                    </w:rPr>
                  </w:pPr>
                  <w:r>
                    <w:rPr>
                      <w:rFonts w:hint="eastAsia"/>
                      <w:sz w:val="24"/>
                      <w:szCs w:val="24"/>
                    </w:rPr>
                    <w:t>篁岭索道</w:t>
                  </w:r>
                </w:p>
              </w:tc>
              <w:tc>
                <w:tcPr>
                  <w:tcW w:w="2747" w:type="dxa"/>
                  <w:noWrap w:val="0"/>
                  <w:vAlign w:val="top"/>
                </w:tcPr>
                <w:p>
                  <w:pPr>
                    <w:jc w:val="center"/>
                  </w:pPr>
                  <w:r>
                    <w:rPr>
                      <w:rFonts w:hint="eastAsia"/>
                      <w:sz w:val="24"/>
                      <w:szCs w:val="24"/>
                    </w:rPr>
                    <w:t>1</w:t>
                  </w:r>
                  <w:r>
                    <w:rPr>
                      <w:rFonts w:hint="eastAsia"/>
                      <w:sz w:val="24"/>
                      <w:szCs w:val="24"/>
                      <w:lang w:val="en-US" w:eastAsia="zh-CN"/>
                    </w:rPr>
                    <w:t>2</w:t>
                  </w:r>
                  <w:r>
                    <w:rPr>
                      <w:sz w:val="24"/>
                      <w:szCs w:val="24"/>
                    </w:rPr>
                    <w:t>0</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rPr>
                      <w:sz w:val="24"/>
                      <w:szCs w:val="24"/>
                    </w:rPr>
                  </w:pPr>
                  <w:r>
                    <w:rPr>
                      <w:rFonts w:hint="eastAsia"/>
                      <w:sz w:val="24"/>
                      <w:szCs w:val="24"/>
                    </w:rPr>
                    <w:t>黄山索道</w:t>
                  </w:r>
                </w:p>
              </w:tc>
              <w:tc>
                <w:tcPr>
                  <w:tcW w:w="2747" w:type="dxa"/>
                  <w:noWrap w:val="0"/>
                  <w:vAlign w:val="top"/>
                </w:tcPr>
                <w:p>
                  <w:pPr>
                    <w:jc w:val="center"/>
                  </w:pPr>
                  <w:r>
                    <w:rPr>
                      <w:rFonts w:hint="eastAsia"/>
                      <w:sz w:val="24"/>
                      <w:szCs w:val="24"/>
                    </w:rPr>
                    <w:t>1</w:t>
                  </w:r>
                  <w:r>
                    <w:rPr>
                      <w:sz w:val="24"/>
                      <w:szCs w:val="24"/>
                    </w:rPr>
                    <w:t>70</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rPr>
                      <w:rFonts w:hint="eastAsia" w:eastAsia="宋体"/>
                      <w:sz w:val="24"/>
                      <w:szCs w:val="24"/>
                      <w:lang w:eastAsia="zh-CN"/>
                    </w:rPr>
                  </w:pPr>
                  <w:r>
                    <w:rPr>
                      <w:rFonts w:hint="eastAsia"/>
                      <w:sz w:val="24"/>
                      <w:szCs w:val="24"/>
                      <w:lang w:eastAsia="zh-CN"/>
                    </w:rPr>
                    <w:t>黄山景交</w:t>
                  </w:r>
                </w:p>
              </w:tc>
              <w:tc>
                <w:tcPr>
                  <w:tcW w:w="2747" w:type="dxa"/>
                  <w:noWrap w:val="0"/>
                  <w:vAlign w:val="top"/>
                </w:tcPr>
                <w:p>
                  <w:pPr>
                    <w:jc w:val="center"/>
                    <w:rPr>
                      <w:rFonts w:hint="default" w:eastAsia="宋体"/>
                      <w:sz w:val="24"/>
                      <w:szCs w:val="24"/>
                      <w:lang w:val="en-US" w:eastAsia="zh-CN"/>
                    </w:rPr>
                  </w:pPr>
                  <w:r>
                    <w:rPr>
                      <w:rFonts w:hint="eastAsia"/>
                      <w:sz w:val="24"/>
                      <w:szCs w:val="24"/>
                      <w:lang w:val="en-US" w:eastAsia="zh-CN"/>
                    </w:rPr>
                    <w:t>38</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rPr>
                      <w:rFonts w:hint="eastAsia" w:eastAsia="宋体"/>
                      <w:sz w:val="24"/>
                      <w:szCs w:val="24"/>
                      <w:lang w:eastAsia="zh-CN"/>
                    </w:rPr>
                  </w:pPr>
                  <w:r>
                    <w:rPr>
                      <w:rFonts w:hint="eastAsia"/>
                      <w:sz w:val="24"/>
                      <w:szCs w:val="24"/>
                      <w:lang w:eastAsia="zh-CN"/>
                    </w:rPr>
                    <w:t>鄱阳湖湿地公园游船</w:t>
                  </w:r>
                </w:p>
              </w:tc>
              <w:tc>
                <w:tcPr>
                  <w:tcW w:w="2747" w:type="dxa"/>
                  <w:noWrap w:val="0"/>
                  <w:vAlign w:val="top"/>
                </w:tcPr>
                <w:p>
                  <w:pPr>
                    <w:jc w:val="center"/>
                    <w:rPr>
                      <w:rFonts w:hint="default" w:eastAsia="宋体"/>
                      <w:sz w:val="24"/>
                      <w:szCs w:val="24"/>
                      <w:lang w:val="en-US" w:eastAsia="zh-CN"/>
                    </w:rPr>
                  </w:pPr>
                  <w:r>
                    <w:rPr>
                      <w:rFonts w:hint="eastAsia"/>
                      <w:sz w:val="24"/>
                      <w:szCs w:val="24"/>
                      <w:lang w:val="en-US" w:eastAsia="zh-CN"/>
                    </w:rPr>
                    <w:t>158</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gridAfter w:val="1"/>
                <w:wAfter w:w="5246" w:type="dxa"/>
                <w:trHeight w:val="129" w:hRule="atLeast"/>
                <w:jc w:val="center"/>
              </w:trPr>
              <w:tc>
                <w:tcPr>
                  <w:tcW w:w="2747" w:type="dxa"/>
                  <w:noWrap w:val="0"/>
                  <w:vAlign w:val="top"/>
                </w:tcPr>
                <w:p>
                  <w:pPr>
                    <w:jc w:val="center"/>
                  </w:pPr>
                  <w:r>
                    <w:rPr>
                      <w:rFonts w:hint="eastAsia"/>
                      <w:b/>
                      <w:bCs/>
                      <w:color w:val="C00000"/>
                      <w:sz w:val="24"/>
                      <w:szCs w:val="24"/>
                    </w:rPr>
                    <w:t>合计</w:t>
                  </w:r>
                </w:p>
              </w:tc>
              <w:tc>
                <w:tcPr>
                  <w:tcW w:w="2747" w:type="dxa"/>
                  <w:noWrap w:val="0"/>
                  <w:vAlign w:val="top"/>
                </w:tcPr>
                <w:p>
                  <w:pPr>
                    <w:jc w:val="center"/>
                    <w:rPr>
                      <w:rFonts w:hint="default" w:eastAsia="宋体"/>
                      <w:lang w:val="en-US" w:eastAsia="zh-CN"/>
                    </w:rPr>
                  </w:pPr>
                  <w:r>
                    <w:rPr>
                      <w:rFonts w:hint="eastAsia"/>
                      <w:b/>
                      <w:bCs/>
                      <w:color w:val="C00000"/>
                      <w:sz w:val="24"/>
                      <w:szCs w:val="24"/>
                      <w:lang w:val="en-US" w:eastAsia="zh-CN"/>
                    </w:rPr>
                    <w:t>576</w:t>
                  </w:r>
                </w:p>
              </w:tc>
            </w:tr>
            <w:tr>
              <w:tblPrEx>
                <w:tblBorders>
                  <w:top w:val="single" w:color="FBD4B4" w:sz="12" w:space="0"/>
                  <w:left w:val="single" w:color="FBD4B4" w:sz="12" w:space="0"/>
                  <w:bottom w:val="single" w:color="FBD4B4" w:sz="12" w:space="0"/>
                  <w:right w:val="single" w:color="FBD4B4" w:sz="12" w:space="0"/>
                  <w:insideH w:val="single" w:color="FBD4B4" w:sz="12" w:space="0"/>
                  <w:insideV w:val="single" w:color="FBD4B4" w:sz="12" w:space="0"/>
                </w:tblBorders>
                <w:tblCellMar>
                  <w:top w:w="0" w:type="dxa"/>
                  <w:left w:w="108" w:type="dxa"/>
                  <w:bottom w:w="0" w:type="dxa"/>
                  <w:right w:w="108" w:type="dxa"/>
                </w:tblCellMar>
              </w:tblPrEx>
              <w:trPr>
                <w:trHeight w:val="129" w:hRule="atLeast"/>
                <w:jc w:val="center"/>
              </w:trPr>
              <w:tc>
                <w:tcPr>
                  <w:tcW w:w="10740" w:type="dxa"/>
                  <w:gridSpan w:val="3"/>
                  <w:noWrap w:val="0"/>
                  <w:vAlign w:val="top"/>
                </w:tcPr>
                <w:p>
                  <w:pPr>
                    <w:jc w:val="center"/>
                  </w:pPr>
                </w:p>
              </w:tc>
            </w:tr>
          </w:tbl>
          <w:p>
            <w:pPr>
              <w:spacing w:line="360" w:lineRule="exact"/>
              <w:rPr>
                <w:rFonts w:hint="eastAsia" w:ascii="微软雅黑" w:hAnsi="微软雅黑" w:eastAsia="微软雅黑"/>
                <w:sz w:val="20"/>
                <w:szCs w:val="22"/>
              </w:rPr>
            </w:pPr>
          </w:p>
        </w:tc>
      </w:tr>
      <w:tr>
        <w:tblPrEx>
          <w:tblCellMar>
            <w:top w:w="0" w:type="dxa"/>
            <w:left w:w="108" w:type="dxa"/>
            <w:bottom w:w="0" w:type="dxa"/>
            <w:right w:w="108" w:type="dxa"/>
          </w:tblCellMar>
        </w:tblPrEx>
        <w:trPr>
          <w:trHeight w:val="70" w:hRule="atLeast"/>
        </w:trPr>
        <w:tc>
          <w:tcPr>
            <w:tcW w:w="838" w:type="dxa"/>
            <w:tcBorders>
              <w:top w:val="single" w:color="008080" w:sz="4" w:space="0"/>
              <w:left w:val="single" w:color="008080" w:sz="4" w:space="0"/>
              <w:bottom w:val="single" w:color="008080" w:sz="4" w:space="0"/>
              <w:right w:val="single" w:color="008080" w:sz="4" w:space="0"/>
            </w:tcBorders>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不含项目</w:t>
            </w:r>
          </w:p>
        </w:tc>
        <w:tc>
          <w:tcPr>
            <w:tcW w:w="9837" w:type="dxa"/>
            <w:tcBorders>
              <w:top w:val="single" w:color="008080" w:sz="4" w:space="0"/>
              <w:left w:val="nil"/>
              <w:bottom w:val="single" w:color="008080" w:sz="4" w:space="0"/>
              <w:right w:val="single" w:color="008080" w:sz="4" w:space="0"/>
            </w:tcBorders>
            <w:noWrap w:val="0"/>
            <w:vAlign w:val="center"/>
          </w:tcPr>
          <w:p>
            <w:pPr>
              <w:spacing w:line="360" w:lineRule="exact"/>
              <w:ind w:left="300" w:hanging="300" w:hangingChars="150"/>
              <w:rPr>
                <w:rFonts w:ascii="微软雅黑" w:hAnsi="微软雅黑" w:eastAsia="微软雅黑" w:cs="微软雅黑"/>
                <w:b/>
                <w:bCs/>
                <w:sz w:val="20"/>
                <w:szCs w:val="22"/>
                <w:lang w:eastAsia="zh-CN"/>
              </w:rPr>
            </w:pPr>
            <w:r>
              <w:rPr>
                <w:rFonts w:hint="eastAsia" w:ascii="微软雅黑" w:hAnsi="微软雅黑" w:eastAsia="微软雅黑" w:cs="微软雅黑"/>
                <w:sz w:val="20"/>
                <w:szCs w:val="22"/>
              </w:rPr>
              <w:t>1、报价不含景区内小交通</w:t>
            </w:r>
          </w:p>
          <w:p>
            <w:pPr>
              <w:spacing w:line="360" w:lineRule="exact"/>
              <w:rPr>
                <w:rFonts w:ascii="微软雅黑" w:hAnsi="微软雅黑" w:eastAsia="微软雅黑" w:cs="微软雅黑"/>
                <w:sz w:val="20"/>
                <w:szCs w:val="22"/>
              </w:rPr>
            </w:pPr>
            <w:r>
              <w:rPr>
                <w:rFonts w:hint="eastAsia" w:ascii="微软雅黑" w:hAnsi="微软雅黑" w:eastAsia="微软雅黑" w:cs="微软雅黑"/>
                <w:sz w:val="20"/>
                <w:szCs w:val="22"/>
              </w:rPr>
              <w:t>2、自由活动期间交通费、餐费、等私人费用。</w:t>
            </w:r>
          </w:p>
          <w:p>
            <w:pPr>
              <w:spacing w:line="360" w:lineRule="exact"/>
              <w:ind w:left="304" w:hanging="304" w:hangingChars="152"/>
              <w:rPr>
                <w:rFonts w:ascii="微软雅黑" w:hAnsi="微软雅黑" w:eastAsia="微软雅黑" w:cs="微软雅黑"/>
                <w:sz w:val="20"/>
                <w:szCs w:val="22"/>
              </w:rPr>
            </w:pPr>
            <w:r>
              <w:rPr>
                <w:rFonts w:hint="eastAsia" w:ascii="微软雅黑" w:hAnsi="微软雅黑" w:eastAsia="微软雅黑" w:cs="微软雅黑"/>
                <w:sz w:val="20"/>
                <w:szCs w:val="22"/>
              </w:rPr>
              <w:t>3、行程中未提到包含的其它费用：如景区内二道门票、观光车、电瓶车、索道、租赁等费用。</w:t>
            </w:r>
          </w:p>
          <w:p>
            <w:pPr>
              <w:spacing w:line="360" w:lineRule="exact"/>
              <w:ind w:left="304" w:hanging="304" w:hangingChars="152"/>
              <w:rPr>
                <w:rFonts w:ascii="微软雅黑" w:hAnsi="微软雅黑" w:eastAsia="微软雅黑" w:cs="微软雅黑"/>
                <w:sz w:val="20"/>
                <w:szCs w:val="22"/>
              </w:rPr>
            </w:pPr>
            <w:r>
              <w:rPr>
                <w:rFonts w:hint="eastAsia" w:ascii="微软雅黑" w:hAnsi="微软雅黑" w:eastAsia="微软雅黑" w:cs="微软雅黑"/>
                <w:sz w:val="20"/>
                <w:szCs w:val="22"/>
              </w:rPr>
              <w:t>4、不提供自然单间，产生单房差或加床费用自理。酒店入住的匙牌押金，非免费餐饮费、洗衣、电话、饮料、烟酒、付费电视、行李搬运等费用。</w:t>
            </w:r>
          </w:p>
          <w:p>
            <w:pPr>
              <w:spacing w:line="360" w:lineRule="exact"/>
              <w:ind w:left="304" w:hanging="304" w:hangingChars="152"/>
              <w:rPr>
                <w:rFonts w:ascii="微软雅黑" w:hAnsi="微软雅黑" w:eastAsia="微软雅黑" w:cs="微软雅黑"/>
                <w:sz w:val="20"/>
                <w:szCs w:val="22"/>
              </w:rPr>
            </w:pPr>
            <w:r>
              <w:rPr>
                <w:rFonts w:hint="eastAsia" w:ascii="微软雅黑" w:hAnsi="微软雅黑" w:eastAsia="微软雅黑" w:cs="微软雅黑"/>
                <w:sz w:val="20"/>
                <w:szCs w:val="22"/>
              </w:rPr>
              <w:t>5、客人自选个人消费项目，及“旅游费用包含”内容以外的所有费用；</w:t>
            </w:r>
          </w:p>
          <w:p>
            <w:pPr>
              <w:spacing w:line="360" w:lineRule="exact"/>
              <w:rPr>
                <w:rFonts w:ascii="微软雅黑" w:hAnsi="微软雅黑" w:eastAsia="微软雅黑" w:cs="微软雅黑"/>
                <w:sz w:val="20"/>
                <w:szCs w:val="22"/>
              </w:rPr>
            </w:pPr>
            <w:r>
              <w:rPr>
                <w:rFonts w:hint="eastAsia" w:ascii="微软雅黑" w:hAnsi="微软雅黑" w:eastAsia="微软雅黑" w:cs="微软雅黑"/>
                <w:sz w:val="20"/>
                <w:szCs w:val="22"/>
              </w:rPr>
              <w:t>6、儿童的“旅游费用包含”内容以外的所有费用。例如产生超高餐费、门票等需客人另付！</w:t>
            </w:r>
          </w:p>
          <w:p>
            <w:pPr>
              <w:spacing w:line="360" w:lineRule="exact"/>
              <w:rPr>
                <w:rFonts w:ascii="微软雅黑" w:hAnsi="微软雅黑" w:eastAsia="微软雅黑" w:cs="微软雅黑"/>
                <w:sz w:val="20"/>
                <w:szCs w:val="22"/>
              </w:rPr>
            </w:pPr>
            <w:r>
              <w:rPr>
                <w:rFonts w:hint="eastAsia" w:ascii="微软雅黑" w:hAnsi="微软雅黑" w:eastAsia="微软雅黑" w:cs="微软雅黑"/>
                <w:sz w:val="20"/>
                <w:szCs w:val="22"/>
              </w:rPr>
              <w:t>7、因交通延误、取消等意外事件或不可抗力原因导致的额外费用，及个人所产生的费用等。</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8、航空保险、旅游意外保险；因旅游者违约、自身过错、自身疾病，导致的人身财产损失而额外支付的费用。</w:t>
            </w:r>
          </w:p>
          <w:p>
            <w:pPr>
              <w:spacing w:line="360" w:lineRule="exact"/>
              <w:rPr>
                <w:rFonts w:ascii="微软雅黑" w:hAnsi="微软雅黑" w:eastAsia="微软雅黑" w:cs="微软雅黑"/>
                <w:sz w:val="20"/>
                <w:szCs w:val="22"/>
              </w:rPr>
            </w:pPr>
            <w:r>
              <w:rPr>
                <w:rFonts w:hint="eastAsia" w:ascii="微软雅黑" w:hAnsi="微软雅黑" w:eastAsia="微软雅黑" w:cs="微软雅黑"/>
                <w:sz w:val="20"/>
                <w:szCs w:val="22"/>
              </w:rPr>
              <w:t>9、因旅游者违约、自身过错、自身疾病导致的人身财产损失而额外支付的费用；</w:t>
            </w:r>
          </w:p>
        </w:tc>
      </w:tr>
      <w:tr>
        <w:tblPrEx>
          <w:tblCellMar>
            <w:top w:w="0" w:type="dxa"/>
            <w:left w:w="108" w:type="dxa"/>
            <w:bottom w:w="0" w:type="dxa"/>
            <w:right w:w="108" w:type="dxa"/>
          </w:tblCellMar>
        </w:tblPrEx>
        <w:trPr>
          <w:trHeight w:val="1101" w:hRule="atLeast"/>
        </w:trPr>
        <w:tc>
          <w:tcPr>
            <w:tcW w:w="838" w:type="dxa"/>
            <w:tcBorders>
              <w:top w:val="single" w:color="008080" w:sz="4" w:space="0"/>
              <w:left w:val="single" w:color="008080" w:sz="4" w:space="0"/>
              <w:bottom w:val="single" w:color="008080" w:sz="4" w:space="0"/>
              <w:right w:val="single" w:color="008080" w:sz="4" w:space="0"/>
            </w:tcBorders>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小童费用说明</w:t>
            </w:r>
          </w:p>
        </w:tc>
        <w:tc>
          <w:tcPr>
            <w:tcW w:w="9837" w:type="dxa"/>
            <w:tcBorders>
              <w:top w:val="single" w:color="008080" w:sz="4" w:space="0"/>
              <w:left w:val="nil"/>
              <w:bottom w:val="single" w:color="008080" w:sz="4" w:space="0"/>
              <w:right w:val="single" w:color="008080" w:sz="4" w:space="0"/>
            </w:tcBorders>
            <w:noWrap w:val="0"/>
            <w:vAlign w:val="center"/>
          </w:tcPr>
          <w:p>
            <w:pPr>
              <w:spacing w:line="360" w:lineRule="exact"/>
              <w:ind w:left="300" w:hanging="300" w:hangingChars="150"/>
              <w:rPr>
                <w:rFonts w:ascii="微软雅黑" w:hAnsi="微软雅黑" w:eastAsia="微软雅黑" w:cs="微软雅黑"/>
                <w:sz w:val="20"/>
                <w:szCs w:val="22"/>
                <w:lang w:eastAsia="zh-CN"/>
              </w:rPr>
            </w:pPr>
            <w:r>
              <w:rPr>
                <w:rFonts w:hint="eastAsia" w:ascii="微软雅黑" w:hAnsi="微软雅黑" w:eastAsia="微软雅黑" w:cs="微软雅黑"/>
                <w:sz w:val="20"/>
                <w:szCs w:val="22"/>
              </w:rPr>
              <w:t>1.4米以下含导服费及汽车车位以及餐费，不含（门票、火车票、酒店床位、环保车费用、缆车费用）如超高客人自付费用，小童不占酒店床位时需另补早餐费用；</w:t>
            </w:r>
            <w:r>
              <w:rPr>
                <w:rFonts w:hint="eastAsia" w:ascii="微软雅黑" w:hAnsi="微软雅黑" w:eastAsia="微软雅黑" w:cs="微软雅黑"/>
                <w:sz w:val="20"/>
                <w:szCs w:val="22"/>
                <w:lang w:eastAsia="zh-CN"/>
              </w:rPr>
              <w:t>1.4以上同成人</w:t>
            </w:r>
          </w:p>
        </w:tc>
      </w:tr>
      <w:tr>
        <w:tblPrEx>
          <w:tblCellMar>
            <w:top w:w="0" w:type="dxa"/>
            <w:left w:w="108" w:type="dxa"/>
            <w:bottom w:w="0" w:type="dxa"/>
            <w:right w:w="108" w:type="dxa"/>
          </w:tblCellMar>
        </w:tblPrEx>
        <w:tc>
          <w:tcPr>
            <w:tcW w:w="838" w:type="dxa"/>
            <w:tcBorders>
              <w:top w:val="single" w:color="008080" w:sz="4" w:space="0"/>
              <w:left w:val="single" w:color="008080" w:sz="4" w:space="0"/>
              <w:bottom w:val="single" w:color="008080" w:sz="4" w:space="0"/>
              <w:right w:val="single" w:color="008080" w:sz="4" w:space="0"/>
            </w:tcBorders>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特别说明</w:t>
            </w:r>
          </w:p>
        </w:tc>
        <w:tc>
          <w:tcPr>
            <w:tcW w:w="9837" w:type="dxa"/>
            <w:tcBorders>
              <w:top w:val="single" w:color="008080" w:sz="4" w:space="0"/>
              <w:left w:val="nil"/>
              <w:bottom w:val="single" w:color="008080" w:sz="4" w:space="0"/>
              <w:right w:val="single" w:color="008080" w:sz="4" w:space="0"/>
            </w:tcBorders>
            <w:noWrap w:val="0"/>
            <w:vAlign w:val="top"/>
          </w:tcPr>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1、此团为散客当地拼团；有时会与我社其它线路互拼，</w:t>
            </w:r>
            <w:r>
              <w:rPr>
                <w:rFonts w:hint="eastAsia" w:ascii="微软雅黑" w:hAnsi="微软雅黑" w:eastAsia="微软雅黑" w:cs="微软雅黑"/>
                <w:b/>
                <w:sz w:val="20"/>
                <w:szCs w:val="22"/>
              </w:rPr>
              <w:t>但不影响原本线路的接待标准</w:t>
            </w:r>
            <w:r>
              <w:rPr>
                <w:rFonts w:hint="eastAsia" w:ascii="微软雅黑" w:hAnsi="微软雅黑" w:eastAsia="微软雅黑" w:cs="微软雅黑"/>
                <w:sz w:val="20"/>
                <w:szCs w:val="22"/>
              </w:rPr>
              <w:t>。</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2、以上行程、火车车次及酒店安排以出团通知书为准，当地接待旅行社会在景点不变的情况下，有权对行程先后次序作出相应调整，团友如有异议，请在报名时向销售人员做出了解。</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3、准确集合时间和地点，我社工作人员在出团前一天下午会以电话或短信方式通知客人，请注意确认查收，可以以短信回复方式确认收到。请客人耐心等待！！</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4、含景区上下山及景区游览需换乘景区观光车，环保车套车形式，统一由车队调配，无法专车专用，客人物品随身携带，期间有可能会出现排队等车的情况，请客人配合。</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5、赠送项目如因天气、景区关闭等不可抗拒因素导致无法参观的，不退任何费用。</w:t>
            </w:r>
          </w:p>
          <w:p>
            <w:pPr>
              <w:spacing w:line="360" w:lineRule="exact"/>
              <w:ind w:left="300" w:hanging="300" w:hangingChars="150"/>
              <w:rPr>
                <w:rFonts w:ascii="微软雅黑" w:hAnsi="微软雅黑" w:eastAsia="微软雅黑" w:cs="微软雅黑"/>
                <w:sz w:val="20"/>
                <w:szCs w:val="22"/>
              </w:rPr>
            </w:pPr>
            <w:r>
              <w:rPr>
                <w:rFonts w:hint="eastAsia" w:ascii="微软雅黑" w:hAnsi="微软雅黑" w:eastAsia="微软雅黑" w:cs="微软雅黑"/>
                <w:sz w:val="20"/>
                <w:szCs w:val="22"/>
              </w:rPr>
              <w:t>6、本产品不接受孕妇预订。</w:t>
            </w:r>
          </w:p>
          <w:p>
            <w:pPr>
              <w:spacing w:line="360" w:lineRule="exact"/>
              <w:ind w:left="300" w:hanging="300" w:hangingChars="150"/>
              <w:rPr>
                <w:rFonts w:hint="eastAsia" w:ascii="微软雅黑" w:hAnsi="微软雅黑" w:eastAsia="微软雅黑" w:cs="微软雅黑"/>
                <w:b/>
                <w:color w:val="FF0000"/>
                <w:sz w:val="20"/>
                <w:highlight w:val="yellow"/>
                <w:lang w:eastAsia="zh-CN"/>
              </w:rPr>
            </w:pPr>
            <w:r>
              <w:rPr>
                <w:rFonts w:hint="eastAsia" w:ascii="微软雅黑" w:hAnsi="微软雅黑" w:eastAsia="微软雅黑" w:cs="微软雅黑"/>
                <w:sz w:val="20"/>
                <w:szCs w:val="22"/>
              </w:rPr>
              <w:t>7、庐山酒店不含空调和一次性洗漱用品，婺源酒店不含一次性洗漱用品，请客人自备，敬请谅解。</w:t>
            </w:r>
          </w:p>
        </w:tc>
      </w:tr>
    </w:tbl>
    <w:p>
      <w:pPr>
        <w:rPr>
          <w:b/>
          <w:color w:val="000000"/>
          <w:sz w:val="32"/>
          <w:szCs w:val="32"/>
        </w:rPr>
      </w:pPr>
    </w:p>
    <w:p>
      <w:pPr>
        <w:ind w:firstLine="3685" w:firstLineChars="2046"/>
        <w:rPr>
          <w:rFonts w:ascii="微软雅黑" w:hAnsi="微软雅黑" w:eastAsia="微软雅黑"/>
          <w:b/>
          <w:sz w:val="18"/>
          <w:szCs w:val="18"/>
        </w:rPr>
      </w:pPr>
      <w:r>
        <w:rPr>
          <w:rFonts w:hint="eastAsia" w:ascii="微软雅黑" w:hAnsi="微软雅黑" w:eastAsia="微软雅黑"/>
          <w:b/>
          <w:sz w:val="18"/>
          <w:szCs w:val="18"/>
        </w:rPr>
        <w:t>旅游购物安排补充协议书</w:t>
      </w:r>
    </w:p>
    <w:p>
      <w:pPr>
        <w:rPr>
          <w:rFonts w:ascii="微软雅黑" w:hAnsi="微软雅黑" w:eastAsia="微软雅黑"/>
          <w:b/>
          <w:sz w:val="18"/>
          <w:szCs w:val="18"/>
          <w:u w:val="single"/>
        </w:rPr>
      </w:pPr>
      <w:r>
        <w:rPr>
          <w:rFonts w:hint="eastAsia" w:ascii="微软雅黑" w:hAnsi="微软雅黑" w:eastAsia="微软雅黑"/>
          <w:b/>
          <w:sz w:val="18"/>
          <w:szCs w:val="18"/>
        </w:rPr>
        <w:t>甲方（旅行社）：</w:t>
      </w:r>
      <w:r>
        <w:rPr>
          <w:rFonts w:ascii="微软雅黑" w:hAnsi="微软雅黑" w:eastAsia="微软雅黑"/>
          <w:b/>
          <w:sz w:val="18"/>
          <w:szCs w:val="18"/>
          <w:u w:val="single"/>
        </w:rPr>
        <w:t xml:space="preserve">                           </w:t>
      </w:r>
    </w:p>
    <w:p>
      <w:pPr>
        <w:rPr>
          <w:rFonts w:hint="eastAsia" w:ascii="微软雅黑" w:hAnsi="微软雅黑" w:eastAsia="微软雅黑"/>
          <w:b/>
          <w:sz w:val="18"/>
          <w:szCs w:val="18"/>
          <w:u w:val="single"/>
        </w:rPr>
      </w:pPr>
      <w:r>
        <w:rPr>
          <w:rFonts w:hint="eastAsia" w:ascii="微软雅黑" w:hAnsi="微软雅黑" w:eastAsia="微软雅黑"/>
          <w:b/>
          <w:sz w:val="18"/>
          <w:szCs w:val="18"/>
        </w:rPr>
        <w:t>乙方（旅游者）：</w:t>
      </w:r>
      <w:r>
        <w:rPr>
          <w:rFonts w:ascii="微软雅黑" w:hAnsi="微软雅黑" w:eastAsia="微软雅黑"/>
          <w:b/>
          <w:sz w:val="18"/>
          <w:szCs w:val="18"/>
          <w:u w:val="single"/>
        </w:rPr>
        <w:t xml:space="preserve">     </w:t>
      </w:r>
      <w:r>
        <w:rPr>
          <w:rFonts w:hint="eastAsia" w:ascii="微软雅黑" w:hAnsi="微软雅黑" w:eastAsia="微软雅黑"/>
          <w:b/>
          <w:sz w:val="18"/>
          <w:szCs w:val="18"/>
          <w:u w:val="single"/>
        </w:rPr>
        <w:t xml:space="preserve">                      </w:t>
      </w:r>
    </w:p>
    <w:p>
      <w:pPr>
        <w:spacing w:line="300" w:lineRule="exact"/>
        <w:ind w:firstLine="360" w:firstLineChars="200"/>
        <w:rPr>
          <w:rFonts w:ascii="微软雅黑" w:hAnsi="微软雅黑" w:eastAsia="微软雅黑"/>
          <w:sz w:val="18"/>
          <w:szCs w:val="18"/>
        </w:rPr>
      </w:pPr>
      <w:r>
        <w:rPr>
          <w:rFonts w:hint="eastAsia" w:ascii="微软雅黑" w:hAnsi="微软雅黑" w:eastAsia="微软雅黑" w:cs="宋体"/>
          <w:bCs/>
          <w:sz w:val="18"/>
          <w:szCs w:val="18"/>
        </w:rPr>
        <w:t xml:space="preserve">  </w:t>
      </w:r>
      <w:r>
        <w:rPr>
          <w:rFonts w:hint="eastAsia" w:ascii="微软雅黑" w:hAnsi="微软雅黑" w:eastAsia="微软雅黑"/>
          <w:sz w:val="18"/>
          <w:szCs w:val="18"/>
        </w:rPr>
        <w:t>根据《旅游法》第</w:t>
      </w:r>
      <w:r>
        <w:rPr>
          <w:rFonts w:ascii="微软雅黑" w:hAnsi="微软雅黑" w:eastAsia="微软雅黑"/>
          <w:sz w:val="18"/>
          <w:szCs w:val="18"/>
        </w:rPr>
        <w:t>35</w:t>
      </w:r>
      <w:r>
        <w:rPr>
          <w:rFonts w:hint="eastAsia" w:ascii="微软雅黑" w:hAnsi="微软雅黑" w:eastAsia="微软雅黑"/>
          <w:sz w:val="18"/>
          <w:szCs w:val="18"/>
        </w:rPr>
        <w:t>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tbl>
      <w:tblPr>
        <w:tblStyle w:val="6"/>
        <w:tblpPr w:leftFromText="180" w:rightFromText="180" w:vertAnchor="text" w:horzAnchor="page" w:tblpX="1144" w:tblpY="2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402"/>
        <w:gridCol w:w="311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购物店名称</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销售的主要物品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停留时间不低于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59" w:type="dxa"/>
            <w:vMerge w:val="restart"/>
            <w:tcBorders>
              <w:top w:val="single" w:color="auto" w:sz="4" w:space="0"/>
              <w:left w:val="single" w:color="auto" w:sz="4" w:space="0"/>
              <w:right w:val="single" w:color="auto" w:sz="4" w:space="0"/>
            </w:tcBorders>
            <w:noWrap w:val="0"/>
            <w:vAlign w:val="center"/>
          </w:tcPr>
          <w:p>
            <w:pPr>
              <w:spacing w:line="300" w:lineRule="exact"/>
              <w:jc w:val="center"/>
              <w:rPr>
                <w:rFonts w:hint="eastAsia" w:ascii="微软雅黑" w:hAnsi="微软雅黑" w:eastAsia="微软雅黑" w:cs="宋体"/>
                <w:bCs/>
                <w:sz w:val="18"/>
                <w:szCs w:val="18"/>
                <w:u w:val="wave"/>
              </w:rPr>
            </w:pPr>
          </w:p>
          <w:p>
            <w:pPr>
              <w:spacing w:line="300" w:lineRule="exact"/>
              <w:jc w:val="center"/>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lang w:val="en-US" w:eastAsia="zh-CN"/>
              </w:rPr>
              <w:t>五选三</w:t>
            </w: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ascii="微软雅黑" w:hAnsi="微软雅黑" w:eastAsia="微软雅黑" w:cs="宋体"/>
                <w:bCs/>
                <w:sz w:val="18"/>
                <w:szCs w:val="18"/>
                <w:u w:val="wave"/>
              </w:rPr>
            </w:pPr>
            <w:r>
              <w:rPr>
                <w:rFonts w:hint="eastAsia" w:ascii="微软雅黑" w:hAnsi="微软雅黑" w:eastAsia="微软雅黑"/>
                <w:sz w:val="18"/>
                <w:szCs w:val="18"/>
                <w:u w:val="wave"/>
              </w:rPr>
              <w:t>丝绸展示中心</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cs="宋体"/>
                <w:bCs/>
                <w:sz w:val="18"/>
                <w:szCs w:val="18"/>
                <w:u w:val="wave"/>
              </w:rPr>
            </w:pPr>
            <w:r>
              <w:rPr>
                <w:rFonts w:hint="eastAsia" w:ascii="微软雅黑" w:hAnsi="微软雅黑" w:eastAsia="微软雅黑" w:cs="宋体"/>
                <w:bCs/>
                <w:sz w:val="18"/>
                <w:szCs w:val="18"/>
                <w:u w:val="wave"/>
              </w:rPr>
              <w:t>蚕丝制品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cs="宋体"/>
                <w:sz w:val="18"/>
                <w:szCs w:val="18"/>
                <w:u w:val="wave"/>
              </w:rPr>
            </w:pPr>
            <w:r>
              <w:rPr>
                <w:rFonts w:hint="eastAsia" w:ascii="微软雅黑" w:hAnsi="微软雅黑" w:eastAsia="微软雅黑" w:cs="宋体"/>
                <w:sz w:val="18"/>
                <w:szCs w:val="18"/>
                <w:u w:val="wave"/>
                <w:lang w:val="en-US" w:eastAsia="zh-CN"/>
              </w:rPr>
              <w:t>120</w:t>
            </w:r>
            <w:r>
              <w:rPr>
                <w:rFonts w:hint="eastAsia" w:ascii="微软雅黑" w:hAnsi="微软雅黑" w:eastAsia="微软雅黑" w:cs="宋体"/>
                <w:sz w:val="18"/>
                <w:szCs w:val="18"/>
                <w:u w:val="wave"/>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微软雅黑" w:hAnsi="微软雅黑" w:eastAsia="微软雅黑" w:cs="宋体"/>
                <w:iCs/>
                <w:sz w:val="18"/>
                <w:szCs w:val="18"/>
                <w:u w:val="wave"/>
                <w:lang w:eastAsia="zh-CN"/>
              </w:rPr>
            </w:pPr>
            <w:r>
              <w:rPr>
                <w:rFonts w:hint="eastAsia" w:ascii="微软雅黑" w:hAnsi="微软雅黑" w:eastAsia="微软雅黑"/>
                <w:sz w:val="18"/>
                <w:szCs w:val="18"/>
                <w:lang w:eastAsia="zh-CN"/>
              </w:rPr>
              <w:t>保健品</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rPr>
              <w:t>保健品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微软雅黑" w:hAnsi="微软雅黑" w:eastAsia="微软雅黑" w:cs="宋体"/>
                <w:iCs/>
                <w:sz w:val="18"/>
                <w:szCs w:val="18"/>
                <w:u w:val="wave"/>
                <w:lang w:eastAsia="zh-CN"/>
              </w:rPr>
            </w:pPr>
            <w:r>
              <w:rPr>
                <w:rFonts w:hint="eastAsia" w:ascii="微软雅黑" w:hAnsi="微软雅黑" w:eastAsia="微软雅黑" w:cs="宋体"/>
                <w:iCs/>
                <w:sz w:val="18"/>
                <w:szCs w:val="18"/>
                <w:u w:val="wave"/>
                <w:lang w:eastAsia="zh-CN"/>
              </w:rPr>
              <w:t>艾叶基地</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lang w:eastAsia="zh-CN"/>
              </w:rPr>
              <w:t>床上</w:t>
            </w:r>
            <w:r>
              <w:rPr>
                <w:rFonts w:hint="eastAsia" w:ascii="微软雅黑" w:hAnsi="微软雅黑" w:eastAsia="微软雅黑" w:cs="宋体"/>
                <w:bCs/>
                <w:sz w:val="18"/>
                <w:szCs w:val="18"/>
                <w:u w:val="wave"/>
                <w:lang w:val="en-US" w:eastAsia="zh-CN"/>
              </w:rPr>
              <w:t>/</w:t>
            </w:r>
            <w:r>
              <w:rPr>
                <w:rFonts w:hint="eastAsia" w:ascii="微软雅黑" w:hAnsi="微软雅黑" w:eastAsia="微软雅黑" w:cs="宋体"/>
                <w:bCs/>
                <w:sz w:val="18"/>
                <w:szCs w:val="18"/>
                <w:u w:val="wave"/>
                <w:lang w:eastAsia="zh-CN"/>
              </w:rPr>
              <w:t>生活用</w:t>
            </w:r>
            <w:r>
              <w:rPr>
                <w:rFonts w:hint="eastAsia" w:ascii="微软雅黑" w:hAnsi="微软雅黑" w:eastAsia="微软雅黑" w:cs="宋体"/>
                <w:bCs/>
                <w:sz w:val="18"/>
                <w:szCs w:val="18"/>
                <w:u w:val="wave"/>
              </w:rPr>
              <w:t xml:space="preserve">品 </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lang w:val="en-US" w:eastAsia="zh-CN"/>
              </w:rPr>
              <w:t>120</w:t>
            </w:r>
            <w:r>
              <w:rPr>
                <w:rFonts w:hint="eastAsia" w:ascii="微软雅黑" w:hAnsi="微软雅黑" w:eastAsia="微软雅黑" w:cs="宋体"/>
                <w:sz w:val="18"/>
                <w:szCs w:val="18"/>
                <w:u w:val="wave"/>
              </w:rPr>
              <w:t xml:space="preserve">分钟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厨具</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sz w:val="18"/>
                <w:szCs w:val="18"/>
                <w:lang w:eastAsia="zh-CN"/>
              </w:rPr>
            </w:pPr>
            <w:r>
              <w:rPr>
                <w:rFonts w:hint="eastAsia" w:ascii="微软雅黑" w:hAnsi="微软雅黑" w:eastAsia="微软雅黑"/>
                <w:sz w:val="18"/>
                <w:szCs w:val="18"/>
              </w:rPr>
              <w:t>饰品</w:t>
            </w:r>
            <w:r>
              <w:rPr>
                <w:rFonts w:hint="eastAsia" w:ascii="微软雅黑" w:hAnsi="微软雅黑" w:eastAsia="微软雅黑"/>
                <w:sz w:val="18"/>
                <w:szCs w:val="18"/>
                <w:lang w:eastAsia="zh-CN"/>
              </w:rPr>
              <w:t>、生活用品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牛皮席</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sz w:val="18"/>
                <w:szCs w:val="18"/>
                <w:lang w:eastAsia="zh-CN"/>
              </w:rPr>
            </w:pPr>
            <w:r>
              <w:rPr>
                <w:rFonts w:hint="eastAsia" w:ascii="微软雅黑" w:hAnsi="微软雅黑" w:eastAsia="微软雅黑"/>
                <w:sz w:val="18"/>
                <w:szCs w:val="18"/>
              </w:rPr>
              <w:t>饰品</w:t>
            </w:r>
            <w:r>
              <w:rPr>
                <w:rFonts w:hint="eastAsia" w:ascii="微软雅黑" w:hAnsi="微软雅黑" w:eastAsia="微软雅黑"/>
                <w:sz w:val="18"/>
                <w:szCs w:val="18"/>
                <w:lang w:eastAsia="zh-CN"/>
              </w:rPr>
              <w:t>、生活用品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rPr>
              <w:t>120分钟</w:t>
            </w:r>
          </w:p>
        </w:tc>
      </w:tr>
    </w:tbl>
    <w:p>
      <w:pPr>
        <w:spacing w:line="300" w:lineRule="exact"/>
        <w:rPr>
          <w:rFonts w:hint="eastAsia" w:ascii="微软雅黑" w:hAnsi="微软雅黑" w:eastAsia="微软雅黑"/>
          <w:sz w:val="18"/>
          <w:szCs w:val="18"/>
        </w:rPr>
      </w:pPr>
      <w:r>
        <w:rPr>
          <w:rFonts w:hint="eastAsia" w:ascii="微软雅黑" w:hAnsi="微软雅黑" w:eastAsia="微软雅黑"/>
          <w:sz w:val="18"/>
          <w:szCs w:val="18"/>
        </w:rPr>
        <w:t>一、购物场所简述及安排</w:t>
      </w:r>
    </w:p>
    <w:p>
      <w:pPr>
        <w:spacing w:line="300" w:lineRule="exact"/>
        <w:rPr>
          <w:rFonts w:hint="eastAsia" w:ascii="微软雅黑" w:hAnsi="微软雅黑" w:eastAsia="微软雅黑"/>
          <w:b/>
          <w:color w:val="000000"/>
          <w:sz w:val="18"/>
          <w:szCs w:val="18"/>
        </w:rPr>
      </w:pPr>
      <w:r>
        <w:rPr>
          <w:rFonts w:hint="eastAsia" w:ascii="微软雅黑" w:hAnsi="微软雅黑" w:eastAsia="微软雅黑"/>
          <w:b/>
          <w:color w:val="000000"/>
          <w:sz w:val="18"/>
          <w:szCs w:val="18"/>
        </w:rPr>
        <w:t>温馨提示：</w:t>
      </w:r>
      <w:r>
        <w:rPr>
          <w:rFonts w:hint="eastAsia" w:ascii="微软雅黑" w:hAnsi="微软雅黑" w:eastAsia="微软雅黑"/>
          <w:b/>
          <w:color w:val="FF0000"/>
          <w:sz w:val="18"/>
          <w:szCs w:val="18"/>
          <w:lang w:val="en-US" w:eastAsia="zh-CN"/>
        </w:rPr>
        <w:t>3</w:t>
      </w:r>
      <w:r>
        <w:rPr>
          <w:rFonts w:hint="eastAsia" w:ascii="微软雅黑" w:hAnsi="微软雅黑" w:eastAsia="微软雅黑"/>
          <w:b/>
          <w:color w:val="FF0000"/>
          <w:sz w:val="18"/>
          <w:szCs w:val="18"/>
        </w:rPr>
        <w:t>店</w:t>
      </w:r>
      <w:r>
        <w:rPr>
          <w:rFonts w:hint="eastAsia" w:ascii="微软雅黑" w:hAnsi="微软雅黑" w:eastAsia="微软雅黑"/>
          <w:b/>
          <w:color w:val="000000"/>
          <w:sz w:val="18"/>
          <w:szCs w:val="18"/>
        </w:rPr>
        <w:t>，不强制购物，须配合导游，严禁中途离开，特产超市不算店，部分景区内购物场所不算购物店，客人自行鉴别后选购，在旅行社定点购物场所购买的物品，请索要好发票和原包装，回团后7天以内，有任何质量问题旅行社协助办理退货（食品、药材除外），行程内所有的购物场所游客自愿消费，无任何强制消费。</w:t>
      </w:r>
    </w:p>
    <w:p>
      <w:pPr>
        <w:spacing w:line="300" w:lineRule="exact"/>
        <w:rPr>
          <w:rFonts w:hint="eastAsia" w:ascii="微软雅黑" w:hAnsi="微软雅黑" w:eastAsia="微软雅黑"/>
          <w:color w:val="FF0000"/>
          <w:sz w:val="18"/>
          <w:szCs w:val="18"/>
        </w:rPr>
      </w:pPr>
      <w:r>
        <w:rPr>
          <w:rFonts w:hint="eastAsia" w:ascii="微软雅黑" w:hAnsi="微软雅黑" w:eastAsia="微软雅黑"/>
          <w:b/>
          <w:color w:val="FF0000"/>
          <w:sz w:val="18"/>
          <w:szCs w:val="18"/>
        </w:rPr>
        <w:t>特别提醒：</w:t>
      </w:r>
      <w:r>
        <w:rPr>
          <w:rFonts w:hint="eastAsia" w:ascii="微软雅黑" w:hAnsi="微软雅黑" w:eastAsia="微软雅黑" w:cs="微软雅黑"/>
          <w:color w:val="FF0000"/>
          <w:sz w:val="18"/>
          <w:szCs w:val="18"/>
          <w:shd w:val="clear" w:color="auto" w:fill="FFFFFF"/>
        </w:rPr>
        <w:t>不配合进店当地现补导游</w:t>
      </w:r>
      <w:r>
        <w:rPr>
          <w:rFonts w:hint="eastAsia" w:ascii="微软雅黑" w:hAnsi="微软雅黑" w:eastAsia="微软雅黑" w:cs="微软雅黑"/>
          <w:color w:val="FF0000"/>
          <w:sz w:val="18"/>
          <w:szCs w:val="18"/>
          <w:shd w:val="clear" w:color="auto" w:fill="FFFFFF"/>
          <w:lang w:val="en-US" w:eastAsia="zh-CN"/>
        </w:rPr>
        <w:t>100</w:t>
      </w:r>
      <w:r>
        <w:rPr>
          <w:rFonts w:hint="eastAsia" w:ascii="微软雅黑" w:hAnsi="微软雅黑" w:eastAsia="微软雅黑" w:cs="微软雅黑"/>
          <w:color w:val="FF0000"/>
          <w:sz w:val="18"/>
          <w:szCs w:val="18"/>
          <w:shd w:val="clear" w:color="auto" w:fill="FFFFFF"/>
        </w:rPr>
        <w:t>元/人/店。</w:t>
      </w:r>
    </w:p>
    <w:p>
      <w:pPr>
        <w:spacing w:line="160" w:lineRule="exact"/>
        <w:rPr>
          <w:rFonts w:hint="eastAsia" w:ascii="微软雅黑" w:hAnsi="微软雅黑" w:eastAsia="微软雅黑"/>
          <w:b/>
          <w:sz w:val="18"/>
          <w:szCs w:val="18"/>
        </w:rPr>
      </w:pPr>
    </w:p>
    <w:p>
      <w:pPr>
        <w:spacing w:line="300" w:lineRule="exact"/>
        <w:rPr>
          <w:rFonts w:ascii="微软雅黑" w:hAnsi="微软雅黑" w:eastAsia="微软雅黑"/>
          <w:b/>
          <w:sz w:val="18"/>
          <w:szCs w:val="18"/>
        </w:rPr>
      </w:pPr>
      <w:r>
        <w:rPr>
          <w:rFonts w:hint="eastAsia" w:ascii="微软雅黑" w:hAnsi="微软雅黑" w:eastAsia="微软雅黑"/>
          <w:b/>
          <w:sz w:val="18"/>
          <w:szCs w:val="18"/>
        </w:rPr>
        <w:t>二、相关约定</w:t>
      </w:r>
    </w:p>
    <w:p>
      <w:pPr>
        <w:spacing w:line="260" w:lineRule="exact"/>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spacing w:line="260" w:lineRule="exact"/>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、本协议的履行双方均需确认是在不影响团队正常行程安排或不影响同团其他旅游者（即需妥善安排不前往购物场所的旅游者）的前提下方可。</w:t>
      </w:r>
    </w:p>
    <w:p>
      <w:pPr>
        <w:spacing w:line="260" w:lineRule="exact"/>
        <w:rPr>
          <w:rFonts w:ascii="微软雅黑" w:hAnsi="微软雅黑" w:eastAsia="微软雅黑"/>
          <w:sz w:val="18"/>
          <w:szCs w:val="18"/>
        </w:rPr>
      </w:pPr>
      <w:r>
        <w:rPr>
          <w:rFonts w:ascii="微软雅黑" w:hAnsi="微软雅黑" w:eastAsia="微软雅黑"/>
          <w:sz w:val="18"/>
          <w:szCs w:val="18"/>
        </w:rPr>
        <w:t>3</w:t>
      </w:r>
      <w:r>
        <w:rPr>
          <w:rFonts w:hint="eastAsia" w:ascii="微软雅黑" w:hAnsi="微软雅黑" w:eastAsia="微软雅黑"/>
          <w:sz w:val="18"/>
          <w:szCs w:val="18"/>
        </w:rPr>
        <w:t>、本协议约定下由甲方协助安排乙方前往的购物场所，甲方承诺该购物场所（有合法经营所售商品资质）售卖的产品不存在假冒伪劣产品。</w:t>
      </w:r>
    </w:p>
    <w:p>
      <w:pPr>
        <w:spacing w:line="260" w:lineRule="exact"/>
        <w:rPr>
          <w:rFonts w:ascii="微软雅黑" w:hAnsi="微软雅黑" w:eastAsia="微软雅黑"/>
          <w:sz w:val="18"/>
          <w:szCs w:val="18"/>
        </w:rPr>
      </w:pPr>
      <w:r>
        <w:rPr>
          <w:rFonts w:ascii="微软雅黑" w:hAnsi="微软雅黑" w:eastAsia="微软雅黑"/>
          <w:sz w:val="18"/>
          <w:szCs w:val="18"/>
        </w:rPr>
        <w:t>4</w:t>
      </w:r>
      <w:r>
        <w:rPr>
          <w:rFonts w:hint="eastAsia" w:ascii="微软雅黑" w:hAnsi="微软雅黑" w:eastAsia="微软雅黑"/>
          <w:sz w:val="18"/>
          <w:szCs w:val="18"/>
        </w:rPr>
        <w:t>、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spacing w:line="260" w:lineRule="exact"/>
        <w:rPr>
          <w:rFonts w:ascii="微软雅黑" w:hAnsi="微软雅黑" w:eastAsia="微软雅黑"/>
          <w:sz w:val="18"/>
          <w:szCs w:val="18"/>
        </w:rPr>
      </w:pPr>
      <w:r>
        <w:rPr>
          <w:rFonts w:ascii="微软雅黑" w:hAnsi="微软雅黑" w:eastAsia="微软雅黑"/>
          <w:sz w:val="18"/>
          <w:szCs w:val="18"/>
        </w:rPr>
        <w:t>5</w:t>
      </w:r>
      <w:r>
        <w:rPr>
          <w:rFonts w:hint="eastAsia" w:ascii="微软雅黑" w:hAnsi="微软雅黑" w:eastAsia="微软雅黑"/>
          <w:sz w:val="18"/>
          <w:szCs w:val="18"/>
        </w:rPr>
        <w:t>、旅游者在购买产品时请主动向购物场所需要发票或售卖单据以做凭证。</w:t>
      </w:r>
    </w:p>
    <w:p>
      <w:pPr>
        <w:spacing w:line="260" w:lineRule="exact"/>
        <w:rPr>
          <w:rFonts w:ascii="微软雅黑" w:hAnsi="微软雅黑" w:eastAsia="微软雅黑"/>
          <w:sz w:val="18"/>
          <w:szCs w:val="18"/>
        </w:rPr>
      </w:pPr>
      <w:r>
        <w:rPr>
          <w:rFonts w:ascii="微软雅黑" w:hAnsi="微软雅黑" w:eastAsia="微软雅黑"/>
          <w:sz w:val="18"/>
          <w:szCs w:val="18"/>
        </w:rPr>
        <w:t>6</w:t>
      </w:r>
      <w:r>
        <w:rPr>
          <w:rFonts w:hint="eastAsia" w:ascii="微软雅黑" w:hAnsi="微软雅黑" w:eastAsia="微软雅黑"/>
          <w:sz w:val="18"/>
          <w:szCs w:val="18"/>
        </w:rPr>
        <w:t>、购物场所同时向本地公众开放且价格与当地市场均价差异不大的场所如购物一条街、奥特莱斯、连锁（百货）超市、免税店等购物场所不属于《旅游法》规定的“旅行社不得指定具体购物场所”范围。</w:t>
      </w:r>
    </w:p>
    <w:p>
      <w:pPr>
        <w:spacing w:line="260" w:lineRule="exact"/>
        <w:rPr>
          <w:rFonts w:ascii="微软雅黑" w:hAnsi="微软雅黑" w:eastAsia="微软雅黑"/>
          <w:sz w:val="18"/>
          <w:szCs w:val="18"/>
        </w:rPr>
      </w:pPr>
      <w:r>
        <w:rPr>
          <w:rFonts w:ascii="微软雅黑" w:hAnsi="微软雅黑" w:eastAsia="微软雅黑"/>
          <w:sz w:val="18"/>
          <w:szCs w:val="18"/>
        </w:rPr>
        <w:t>7</w:t>
      </w:r>
      <w:r>
        <w:rPr>
          <w:rFonts w:hint="eastAsia" w:ascii="微软雅黑" w:hAnsi="微软雅黑" w:eastAsia="微软雅黑"/>
          <w:sz w:val="18"/>
          <w:szCs w:val="18"/>
        </w:rPr>
        <w:t>、旅行社行程单中的景点、餐厅、长途中途休息站等以内及周边购物点不属于安排的购物场所，旅行社不建议购买，如购买商品出现质量问题，旅行社不承担任何责任。</w:t>
      </w:r>
    </w:p>
    <w:p>
      <w:pPr>
        <w:spacing w:line="260" w:lineRule="exact"/>
        <w:rPr>
          <w:rFonts w:ascii="微软雅黑" w:hAnsi="微软雅黑" w:eastAsia="微软雅黑"/>
          <w:b/>
          <w:sz w:val="18"/>
          <w:szCs w:val="18"/>
        </w:rPr>
      </w:pPr>
      <w:r>
        <w:rPr>
          <w:rFonts w:hint="eastAsia" w:ascii="微软雅黑" w:hAnsi="微软雅黑" w:eastAsia="微软雅黑"/>
          <w:b/>
          <w:sz w:val="18"/>
          <w:szCs w:val="18"/>
        </w:rPr>
        <w:t>三、关于退换货</w:t>
      </w:r>
    </w:p>
    <w:p>
      <w:pPr>
        <w:spacing w:line="260" w:lineRule="exact"/>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、本协议约定下旅游者在由甲方协助安排乙方前往的购物场所购买的产品，如旅游者有退换货要求时需将产品及售卖单据提交甲方或组团社，甲方或组团社有协助乙方退换货的责任和义务。</w:t>
      </w:r>
    </w:p>
    <w:p>
      <w:pPr>
        <w:spacing w:line="260" w:lineRule="exact"/>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、对于旅游者退换货要求为在货品退货约定期限内（</w:t>
      </w:r>
      <w:r>
        <w:rPr>
          <w:rFonts w:hint="eastAsia" w:ascii="微软雅黑" w:hAnsi="微软雅黑" w:eastAsia="微软雅黑"/>
          <w:b/>
          <w:sz w:val="18"/>
          <w:szCs w:val="18"/>
        </w:rPr>
        <w:t>请务必购买时确认货品退换货要求且向购物场所书面确认</w:t>
      </w:r>
      <w:r>
        <w:rPr>
          <w:rFonts w:hint="eastAsia" w:ascii="微软雅黑" w:hAnsi="微软雅黑" w:eastAsia="微软雅黑"/>
          <w:sz w:val="18"/>
          <w:szCs w:val="18"/>
        </w:rPr>
        <w:t>），其中食品及化妆品类产品退换货时需保持其外包装完好，其他类产品则需保留产品外包装。</w:t>
      </w:r>
    </w:p>
    <w:p>
      <w:pPr>
        <w:spacing w:line="260" w:lineRule="exact"/>
        <w:rPr>
          <w:rFonts w:ascii="微软雅黑" w:hAnsi="微软雅黑" w:eastAsia="微软雅黑"/>
          <w:sz w:val="18"/>
          <w:szCs w:val="18"/>
        </w:rPr>
      </w:pPr>
      <w:r>
        <w:rPr>
          <w:rFonts w:hint="eastAsia" w:ascii="微软雅黑" w:hAnsi="微软雅黑" w:eastAsia="微软雅黑"/>
          <w:sz w:val="18"/>
          <w:szCs w:val="18"/>
        </w:rPr>
        <w:t>五、本协议一式二份，双方各执一份，受组团社及地接社委托该团导游为甲方授权签字代表，乙方为旅游者本人（</w:t>
      </w:r>
      <w:r>
        <w:rPr>
          <w:rFonts w:ascii="微软雅黑" w:hAnsi="微软雅黑" w:eastAsia="微软雅黑"/>
          <w:sz w:val="18"/>
          <w:szCs w:val="18"/>
        </w:rPr>
        <w:t>18</w:t>
      </w:r>
      <w:r>
        <w:rPr>
          <w:rFonts w:hint="eastAsia" w:ascii="微软雅黑" w:hAnsi="微软雅黑" w:eastAsia="微软雅黑"/>
          <w:sz w:val="18"/>
          <w:szCs w:val="18"/>
        </w:rPr>
        <w:t>岁以下未成年人需监护人签名）。</w:t>
      </w:r>
    </w:p>
    <w:p>
      <w:pPr>
        <w:spacing w:line="260" w:lineRule="exact"/>
        <w:rPr>
          <w:rFonts w:hint="eastAsia" w:ascii="微软雅黑" w:hAnsi="微软雅黑" w:eastAsia="微软雅黑" w:cs="宋体"/>
          <w:b/>
          <w:bCs/>
          <w:sz w:val="18"/>
          <w:szCs w:val="18"/>
        </w:rPr>
      </w:pPr>
      <w:r>
        <w:rPr>
          <w:rFonts w:hint="eastAsia" w:ascii="微软雅黑" w:hAnsi="微软雅黑" w:eastAsia="微软雅黑" w:cs="宋体"/>
          <w:b/>
          <w:bCs/>
          <w:sz w:val="18"/>
          <w:szCs w:val="18"/>
        </w:rPr>
        <w:t>旅行社（盖章）：                                               旅游者或旅游代表签字：</w:t>
      </w:r>
    </w:p>
    <w:p>
      <w:pPr>
        <w:spacing w:line="260" w:lineRule="exact"/>
        <w:rPr>
          <w:rFonts w:hint="eastAsia" w:ascii="微软雅黑" w:hAnsi="微软雅黑" w:eastAsia="微软雅黑" w:cs="宋体"/>
          <w:b/>
          <w:bCs/>
          <w:sz w:val="18"/>
          <w:szCs w:val="18"/>
        </w:rPr>
      </w:pPr>
      <w:r>
        <w:rPr>
          <w:rFonts w:hint="eastAsia" w:ascii="微软雅黑" w:hAnsi="微软雅黑" w:eastAsia="微软雅黑" w:cs="宋体"/>
          <w:b/>
          <w:bCs/>
          <w:sz w:val="18"/>
          <w:szCs w:val="18"/>
        </w:rPr>
        <w:t>签约代表签字及电话：                                          电话：</w:t>
      </w:r>
    </w:p>
    <w:p>
      <w:pPr>
        <w:spacing w:line="260" w:lineRule="exact"/>
        <w:rPr>
          <w:rFonts w:hint="eastAsia" w:ascii="微软雅黑" w:hAnsi="微软雅黑" w:eastAsia="微软雅黑" w:cs="宋体"/>
          <w:sz w:val="18"/>
          <w:szCs w:val="18"/>
          <w:lang w:eastAsia="zh-CN"/>
        </w:rPr>
      </w:pPr>
      <w:r>
        <w:rPr>
          <w:rFonts w:hint="eastAsia" w:ascii="微软雅黑" w:hAnsi="微软雅黑" w:eastAsia="微软雅黑" w:cs="宋体"/>
          <w:b/>
          <w:bCs/>
          <w:sz w:val="18"/>
          <w:szCs w:val="18"/>
        </w:rPr>
        <w:t>签约日期                                                      签约日期</w:t>
      </w:r>
    </w:p>
    <w:p/>
    <w:p>
      <w:pPr>
        <w:rPr>
          <w:szCs w:val="24"/>
        </w:rPr>
      </w:pPr>
    </w:p>
    <w:sectPr>
      <w:pgSz w:w="11906" w:h="16838"/>
      <w:pgMar w:top="851" w:right="720" w:bottom="851" w:left="720" w:header="624" w:footer="43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-440690</wp:posOffset>
          </wp:positionH>
          <wp:positionV relativeFrom="paragraph">
            <wp:posOffset>-694055</wp:posOffset>
          </wp:positionV>
          <wp:extent cx="7548245" cy="10995025"/>
          <wp:effectExtent l="0" t="0" r="14605" b="15875"/>
          <wp:wrapNone/>
          <wp:docPr id="6" name="图片 6" descr="惠游皖赣7日游wo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惠游皖赣7日游word6"/>
                  <pic:cNvPicPr>
                    <a:picLocks noChangeAspect="1"/>
                  </pic:cNvPicPr>
                </pic:nvPicPr>
                <pic:blipFill>
                  <a:blip r:embed="rId1"/>
                  <a:stretch>
                    <a:fillRect/>
                  </a:stretch>
                </pic:blipFill>
                <pic:spPr>
                  <a:xfrm>
                    <a:off x="0" y="0"/>
                    <a:ext cx="7548245" cy="109950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A02ABF"/>
    <w:multiLevelType w:val="multilevel"/>
    <w:tmpl w:val="7AA02ABF"/>
    <w:lvl w:ilvl="0" w:tentative="0">
      <w:start w:val="6"/>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55EA8"/>
    <w:rsid w:val="00171BF7"/>
    <w:rsid w:val="00172A27"/>
    <w:rsid w:val="00236607"/>
    <w:rsid w:val="00301C5F"/>
    <w:rsid w:val="004271E8"/>
    <w:rsid w:val="00AA2ECE"/>
    <w:rsid w:val="00C96D78"/>
    <w:rsid w:val="00DB66CA"/>
    <w:rsid w:val="00ED24D4"/>
    <w:rsid w:val="013848EA"/>
    <w:rsid w:val="077F2733"/>
    <w:rsid w:val="09A370D9"/>
    <w:rsid w:val="0D990F4F"/>
    <w:rsid w:val="0F0A4C9D"/>
    <w:rsid w:val="146458DE"/>
    <w:rsid w:val="153B0599"/>
    <w:rsid w:val="197A3B8A"/>
    <w:rsid w:val="1AA4262D"/>
    <w:rsid w:val="1F3C3C68"/>
    <w:rsid w:val="1F4A365E"/>
    <w:rsid w:val="212E6BE7"/>
    <w:rsid w:val="22466376"/>
    <w:rsid w:val="26D646FD"/>
    <w:rsid w:val="27D9573A"/>
    <w:rsid w:val="30925370"/>
    <w:rsid w:val="34430FC6"/>
    <w:rsid w:val="34491C67"/>
    <w:rsid w:val="3D284836"/>
    <w:rsid w:val="3D725442"/>
    <w:rsid w:val="3D974F79"/>
    <w:rsid w:val="42842F36"/>
    <w:rsid w:val="479C1C20"/>
    <w:rsid w:val="49D52682"/>
    <w:rsid w:val="4D9D2CAB"/>
    <w:rsid w:val="4E0A0DB9"/>
    <w:rsid w:val="4E1C212B"/>
    <w:rsid w:val="4F710C2B"/>
    <w:rsid w:val="502A32A0"/>
    <w:rsid w:val="51433ADB"/>
    <w:rsid w:val="52C724B5"/>
    <w:rsid w:val="53001A7C"/>
    <w:rsid w:val="541C05D0"/>
    <w:rsid w:val="572A2997"/>
    <w:rsid w:val="5BD81B92"/>
    <w:rsid w:val="5C2B2FB4"/>
    <w:rsid w:val="5D40591C"/>
    <w:rsid w:val="5DDA55FB"/>
    <w:rsid w:val="650E6538"/>
    <w:rsid w:val="65B12F94"/>
    <w:rsid w:val="69626C16"/>
    <w:rsid w:val="6A1D0846"/>
    <w:rsid w:val="6DC6636A"/>
    <w:rsid w:val="6DFD20DE"/>
    <w:rsid w:val="6E4F1AEA"/>
    <w:rsid w:val="725A4926"/>
    <w:rsid w:val="772F4DEA"/>
    <w:rsid w:val="77B85DF6"/>
    <w:rsid w:val="7A6F3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ind w:left="560" w:hanging="560" w:hangingChars="200"/>
    </w:pPr>
    <w:rPr>
      <w:sz w:val="28"/>
    </w:rPr>
  </w:style>
  <w:style w:type="paragraph" w:styleId="3">
    <w:name w:val="Balloon Text"/>
    <w:basedOn w:val="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bCs/>
    </w:rPr>
  </w:style>
  <w:style w:type="character" w:styleId="10">
    <w:name w:val="page number"/>
    <w:basedOn w:val="8"/>
    <w:qFormat/>
    <w:uiPriority w:val="0"/>
  </w:style>
  <w:style w:type="character" w:styleId="11">
    <w:name w:val="Hyperlink"/>
    <w:basedOn w:val="8"/>
    <w:qFormat/>
    <w:uiPriority w:val="0"/>
    <w:rPr>
      <w:color w:val="0000FF"/>
      <w:u w:val="single"/>
    </w:rPr>
  </w:style>
  <w:style w:type="character" w:customStyle="1" w:styleId="12">
    <w:name w:val="word31"/>
    <w:basedOn w:val="8"/>
    <w:qFormat/>
    <w:uiPriority w:val="0"/>
    <w:rPr>
      <w:sz w:val="24"/>
      <w:szCs w:val="24"/>
    </w:rPr>
  </w:style>
  <w:style w:type="paragraph" w:customStyle="1" w:styleId="13">
    <w:name w:val="Char Char1 Char Char Char Char Char Char Char"/>
    <w:basedOn w:val="1"/>
    <w:qFormat/>
    <w:uiPriority w:val="0"/>
    <w:pPr>
      <w:widowControl/>
      <w:spacing w:after="160" w:line="240" w:lineRule="exact"/>
      <w:jc w:val="left"/>
    </w:pPr>
    <w:rPr>
      <w:rFonts w:ascii="Tahoma" w:hAnsi="Tahoma" w:eastAsia="Times New Roman" w:cs="Tahoma"/>
      <w:kern w:val="0"/>
      <w:sz w:val="20"/>
      <w:lang w:eastAsia="en-US"/>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8</Pages>
  <Words>3670</Words>
  <Characters>3795</Characters>
  <Lines>15</Lines>
  <Paragraphs>4</Paragraphs>
  <TotalTime>2</TotalTime>
  <ScaleCrop>false</ScaleCrop>
  <LinksUpToDate>false</LinksUpToDate>
  <CharactersWithSpaces>3805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2019-07-15T06:26:00Z</dcterms:created>
  <dc:creator>Lenovo User</dc:creator>
  <cp:lastModifiedBy>全世界最好的李俊昊</cp:lastModifiedBy>
  <cp:lastPrinted>2019-07-15T06:29:00Z</cp:lastPrinted>
  <dcterms:modified xsi:type="dcterms:W3CDTF">2021-04-22T03:35:14Z</dcterms:modified>
  <dc:title>海南一地单飞五日游</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052E476AEC384C17B2861848F1286669</vt:lpwstr>
  </property>
</Properties>
</file>