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66"/>
        </w:tabs>
        <w:ind w:firstLine="321" w:firstLineChars="100"/>
        <w:jc w:val="center"/>
        <w:rPr>
          <w:rFonts w:hint="eastAsia" w:ascii="宋体" w:hAnsi="宋体" w:eastAsia="宋体" w:cs="宋体"/>
          <w:b/>
          <w:sz w:val="28"/>
          <w:szCs w:val="28"/>
          <w:lang w:val="en-US" w:eastAsia="zh-CN"/>
        </w:rPr>
      </w:pPr>
      <w:r>
        <w:rPr>
          <w:rFonts w:hint="eastAsia" w:ascii="宋体" w:hAnsi="宋体" w:cs="宋体"/>
          <w:b/>
          <w:color w:val="C00000"/>
          <w:sz w:val="32"/>
          <w:szCs w:val="32"/>
        </w:rPr>
        <w:t>江西井冈山</w:t>
      </w:r>
      <w:r>
        <w:rPr>
          <w:rFonts w:hint="eastAsia" w:ascii="宋体" w:hAnsi="宋体" w:cs="宋体"/>
          <w:b/>
          <w:color w:val="C00000"/>
          <w:sz w:val="32"/>
          <w:szCs w:val="32"/>
          <w:lang w:val="en-US" w:eastAsia="zh-CN"/>
        </w:rPr>
        <w:t>+瑞金+长汀南昌6日游</w:t>
      </w:r>
    </w:p>
    <w:tbl>
      <w:tblPr>
        <w:tblStyle w:val="8"/>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日期</w:t>
            </w:r>
          </w:p>
        </w:tc>
        <w:tc>
          <w:tcPr>
            <w:tcW w:w="7796"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行 程 内 容</w:t>
            </w:r>
          </w:p>
        </w:tc>
        <w:tc>
          <w:tcPr>
            <w:tcW w:w="855" w:type="dxa"/>
            <w:shd w:val="clear" w:color="auto" w:fill="600B04"/>
            <w:vAlign w:val="center"/>
          </w:tcPr>
          <w:p>
            <w:pPr>
              <w:spacing w:line="360" w:lineRule="exact"/>
              <w:ind w:firstLine="105" w:firstLineChars="50"/>
              <w:jc w:val="center"/>
              <w:rPr>
                <w:rFonts w:ascii="宋体" w:hAnsi="宋体" w:cs="宋体"/>
                <w:b/>
                <w:color w:val="FFFF00"/>
                <w:szCs w:val="21"/>
              </w:rPr>
            </w:pPr>
            <w:r>
              <w:rPr>
                <w:rFonts w:hint="eastAsia" w:ascii="宋体" w:hAnsi="宋体" w:cs="宋体"/>
                <w:b/>
                <w:color w:val="FFFF00"/>
                <w:szCs w:val="21"/>
              </w:rPr>
              <w:t>供餐</w:t>
            </w:r>
          </w:p>
        </w:tc>
        <w:tc>
          <w:tcPr>
            <w:tcW w:w="1140" w:type="dxa"/>
            <w:shd w:val="clear" w:color="auto" w:fill="600B04"/>
            <w:vAlign w:val="center"/>
          </w:tcPr>
          <w:p>
            <w:pPr>
              <w:spacing w:line="360" w:lineRule="exact"/>
              <w:jc w:val="center"/>
              <w:rPr>
                <w:rFonts w:ascii="宋体" w:hAnsi="宋体" w:cs="宋体"/>
                <w:b/>
                <w:color w:val="FFFF00"/>
                <w:szCs w:val="21"/>
              </w:rPr>
            </w:pPr>
            <w:r>
              <w:rPr>
                <w:rFonts w:hint="eastAsia" w:ascii="宋体" w:hAnsi="宋体" w:cs="宋体"/>
                <w:b/>
                <w:color w:val="FFFF00"/>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D1</w:t>
            </w:r>
          </w:p>
        </w:tc>
        <w:tc>
          <w:tcPr>
            <w:tcW w:w="7796" w:type="dxa"/>
            <w:vAlign w:val="center"/>
          </w:tcPr>
          <w:p>
            <w:pPr>
              <w:spacing w:line="360" w:lineRule="exact"/>
              <w:rPr>
                <w:rFonts w:ascii="宋体" w:hAnsi="宋体" w:cs="宋体"/>
                <w:szCs w:val="21"/>
              </w:rPr>
            </w:pPr>
            <w:r>
              <w:rPr>
                <w:rFonts w:hint="eastAsia" w:ascii="宋体" w:hAnsi="宋体" w:cs="宋体"/>
                <w:b/>
                <w:bCs/>
                <w:color w:val="002060"/>
                <w:sz w:val="24"/>
                <w:lang w:eastAsia="zh-CN"/>
              </w:rPr>
              <w:t>曲靖</w:t>
            </w:r>
            <w:r>
              <w:rPr>
                <w:rFonts w:hint="eastAsia" w:ascii="宋体" w:hAnsi="宋体" w:cs="宋体"/>
                <w:b/>
                <w:bCs/>
                <w:color w:val="002060"/>
                <w:sz w:val="24"/>
              </w:rPr>
              <w:t>-</w:t>
            </w:r>
            <w:r>
              <w:rPr>
                <w:rFonts w:hint="eastAsia" w:ascii="宋体" w:hAnsi="宋体" w:cs="宋体"/>
                <w:b/>
                <w:bCs/>
                <w:color w:val="002060"/>
                <w:sz w:val="24"/>
                <w:lang w:eastAsia="zh-CN"/>
              </w:rPr>
              <w:t>江西新余</w:t>
            </w:r>
            <w:r>
              <w:rPr>
                <w:rFonts w:hint="eastAsia" w:ascii="宋体" w:hAnsi="宋体" w:cs="宋体"/>
                <w:b/>
                <w:bCs/>
                <w:color w:val="002060"/>
                <w:sz w:val="24"/>
              </w:rPr>
              <w:t xml:space="preserve">  </w:t>
            </w:r>
          </w:p>
          <w:p>
            <w:pPr>
              <w:rPr>
                <w:rFonts w:ascii="宋体" w:hAnsi="宋体" w:cs="宋体"/>
                <w:szCs w:val="21"/>
              </w:rPr>
            </w:pPr>
            <w:r>
              <w:rPr>
                <w:rFonts w:hint="eastAsia" w:ascii="宋体" w:hAnsi="宋体" w:cs="宋体"/>
                <w:szCs w:val="21"/>
              </w:rPr>
              <w:t xml:space="preserve"> </w:t>
            </w:r>
            <w:r>
              <w:rPr>
                <w:rFonts w:hint="eastAsia" w:ascii="宋体" w:hAnsi="宋体" w:cs="宋体"/>
                <w:szCs w:val="21"/>
                <w:lang w:eastAsia="zh-CN"/>
              </w:rPr>
              <w:t>曲靖</w:t>
            </w:r>
            <w:r>
              <w:rPr>
                <w:sz w:val="21"/>
                <w:szCs w:val="21"/>
                <w:lang w:val="en-US" w:eastAsia="zh-CN"/>
              </w:rPr>
              <w:t>高铁站出发赴江西新余</w:t>
            </w:r>
            <w:r>
              <w:rPr>
                <w:rFonts w:hint="eastAsia"/>
                <w:sz w:val="21"/>
                <w:szCs w:val="21"/>
                <w:lang w:val="en-US" w:eastAsia="zh-CN"/>
              </w:rPr>
              <w:t>（二等座）</w:t>
            </w:r>
            <w:r>
              <w:rPr>
                <w:sz w:val="21"/>
                <w:szCs w:val="21"/>
                <w:lang w:val="en-US" w:eastAsia="zh-CN"/>
              </w:rPr>
              <w:t>，</w:t>
            </w:r>
            <w:r>
              <w:rPr>
                <w:rFonts w:hint="eastAsia"/>
                <w:sz w:val="21"/>
                <w:szCs w:val="21"/>
                <w:lang w:val="en-US" w:eastAsia="zh-CN"/>
              </w:rPr>
              <w:t>乘坐旅游大巴到达</w:t>
            </w:r>
            <w:r>
              <w:rPr>
                <w:sz w:val="21"/>
                <w:szCs w:val="21"/>
                <w:lang w:val="en-US" w:eastAsia="zh-CN"/>
              </w:rPr>
              <w:t>革命摇篮-</w:t>
            </w:r>
            <w:r>
              <w:rPr>
                <w:rFonts w:hint="eastAsia"/>
                <w:b/>
                <w:bCs/>
                <w:sz w:val="21"/>
                <w:szCs w:val="21"/>
                <w:lang w:val="en-US" w:eastAsia="zh-CN"/>
              </w:rPr>
              <w:t>【</w:t>
            </w:r>
            <w:r>
              <w:rPr>
                <w:b/>
                <w:bCs/>
                <w:sz w:val="21"/>
                <w:szCs w:val="21"/>
                <w:lang w:val="en-US" w:eastAsia="zh-CN"/>
              </w:rPr>
              <w:t>井冈山</w:t>
            </w:r>
            <w:r>
              <w:rPr>
                <w:rFonts w:hint="eastAsia"/>
                <w:b/>
                <w:bCs/>
                <w:sz w:val="21"/>
                <w:szCs w:val="21"/>
                <w:lang w:val="en-US" w:eastAsia="zh-CN"/>
              </w:rPr>
              <w:t>】</w:t>
            </w:r>
            <w:r>
              <w:rPr>
                <w:rFonts w:hint="eastAsia" w:ascii="宋体" w:hAnsi="宋体" w:cs="宋体"/>
                <w:color w:val="FF0000"/>
                <w:szCs w:val="21"/>
              </w:rPr>
              <w:t>（门票</w:t>
            </w:r>
            <w:r>
              <w:rPr>
                <w:rFonts w:hint="eastAsia" w:ascii="宋体" w:hAnsi="宋体" w:cs="宋体"/>
                <w:color w:val="FF0000"/>
                <w:szCs w:val="21"/>
                <w:lang w:val="en-US" w:eastAsia="zh-CN"/>
              </w:rPr>
              <w:t>165</w:t>
            </w:r>
            <w:r>
              <w:rPr>
                <w:rFonts w:hint="eastAsia" w:ascii="宋体" w:hAnsi="宋体" w:cs="宋体"/>
                <w:color w:val="FF0000"/>
                <w:szCs w:val="21"/>
              </w:rPr>
              <w:t>元人</w:t>
            </w:r>
            <w:r>
              <w:rPr>
                <w:rFonts w:hint="eastAsia" w:ascii="宋体" w:hAnsi="宋体" w:cs="宋体"/>
                <w:color w:val="FF0000"/>
                <w:szCs w:val="21"/>
                <w:lang w:eastAsia="zh-CN"/>
              </w:rPr>
              <w:t>已含</w:t>
            </w:r>
            <w:r>
              <w:rPr>
                <w:rFonts w:hint="eastAsia" w:ascii="宋体" w:hAnsi="宋体" w:cs="宋体"/>
                <w:color w:val="FF0000"/>
                <w:szCs w:val="21"/>
              </w:rPr>
              <w:t>：</w:t>
            </w:r>
            <w:r>
              <w:rPr>
                <w:rFonts w:hint="eastAsia"/>
                <w:color w:val="FF0000"/>
                <w:szCs w:val="21"/>
              </w:rPr>
              <w:t>井冈山观光车80元人</w:t>
            </w:r>
            <w:r>
              <w:rPr>
                <w:rFonts w:hint="eastAsia"/>
                <w:color w:val="FF0000"/>
                <w:szCs w:val="21"/>
                <w:lang w:eastAsia="zh-CN"/>
              </w:rPr>
              <w:t>包含</w:t>
            </w:r>
            <w:r>
              <w:rPr>
                <w:rFonts w:hint="eastAsia"/>
                <w:color w:val="FF0000"/>
                <w:szCs w:val="21"/>
              </w:rPr>
              <w:t>）</w:t>
            </w:r>
          </w:p>
        </w:tc>
        <w:tc>
          <w:tcPr>
            <w:tcW w:w="855" w:type="dxa"/>
            <w:vAlign w:val="center"/>
          </w:tcPr>
          <w:p>
            <w:pPr>
              <w:spacing w:line="360" w:lineRule="exact"/>
              <w:ind w:firstLine="105" w:firstLineChars="50"/>
              <w:jc w:val="center"/>
              <w:rPr>
                <w:rFonts w:ascii="宋体" w:hAnsi="宋体" w:cs="宋体"/>
                <w:bCs/>
                <w:color w:val="000000"/>
                <w:szCs w:val="21"/>
              </w:rPr>
            </w:pPr>
            <w:r>
              <w:rPr>
                <w:rFonts w:hint="eastAsia" w:ascii="宋体" w:hAnsi="宋体" w:cs="宋体"/>
                <w:bCs/>
                <w:color w:val="000000"/>
                <w:szCs w:val="21"/>
              </w:rPr>
              <w:t>无</w:t>
            </w:r>
          </w:p>
        </w:tc>
        <w:tc>
          <w:tcPr>
            <w:tcW w:w="1140" w:type="dxa"/>
            <w:vAlign w:val="center"/>
          </w:tcPr>
          <w:p>
            <w:pPr>
              <w:spacing w:line="360" w:lineRule="exact"/>
              <w:jc w:val="center"/>
              <w:rPr>
                <w:rFonts w:hint="eastAsia" w:ascii="宋体" w:hAnsi="宋体" w:eastAsia="宋体" w:cs="宋体"/>
                <w:bCs/>
                <w:color w:val="000000"/>
                <w:szCs w:val="21"/>
                <w:lang w:eastAsia="zh-CN"/>
              </w:rPr>
            </w:pPr>
            <w:r>
              <w:rPr>
                <w:rFonts w:hint="eastAsia" w:ascii="宋体" w:hAnsi="宋体" w:cs="宋体"/>
                <w:bCs/>
                <w:color w:val="000000"/>
                <w:sz w:val="18"/>
                <w:szCs w:val="18"/>
                <w:lang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D2</w:t>
            </w:r>
          </w:p>
        </w:tc>
        <w:tc>
          <w:tcPr>
            <w:tcW w:w="7796" w:type="dxa"/>
            <w:vAlign w:val="center"/>
          </w:tcPr>
          <w:p>
            <w:pPr>
              <w:spacing w:line="360" w:lineRule="exact"/>
              <w:rPr>
                <w:rFonts w:ascii="宋体" w:hAnsi="宋体" w:cs="宋体"/>
                <w:b/>
                <w:bCs/>
                <w:color w:val="002060"/>
                <w:sz w:val="24"/>
              </w:rPr>
            </w:pPr>
            <w:r>
              <w:rPr>
                <w:rFonts w:hint="eastAsia" w:ascii="宋体" w:hAnsi="宋体" w:cs="宋体"/>
                <w:b/>
                <w:bCs/>
                <w:color w:val="002060"/>
                <w:sz w:val="24"/>
              </w:rPr>
              <w:t>井冈山</w:t>
            </w:r>
          </w:p>
          <w:p>
            <w:pPr>
              <w:spacing w:line="360" w:lineRule="exact"/>
              <w:rPr>
                <w:rFonts w:ascii="宋体" w:hAnsi="宋体" w:cs="宋体"/>
                <w:color w:val="000000"/>
                <w:szCs w:val="21"/>
              </w:rPr>
            </w:pPr>
            <w:r>
              <w:rPr>
                <w:rFonts w:hint="eastAsia" w:ascii="宋体" w:hAnsi="宋体" w:cs="宋体"/>
                <w:szCs w:val="21"/>
              </w:rPr>
              <w:t>早餐后，</w:t>
            </w:r>
            <w:r>
              <w:rPr>
                <w:rFonts w:hint="eastAsia" w:ascii="宋体" w:hAnsi="宋体"/>
                <w:szCs w:val="21"/>
              </w:rPr>
              <w:t>观光车游</w:t>
            </w:r>
            <w:r>
              <w:rPr>
                <w:rFonts w:hint="eastAsia" w:ascii="宋体" w:hAnsi="宋体"/>
                <w:b/>
                <w:bCs/>
                <w:szCs w:val="21"/>
              </w:rPr>
              <w:t>【黄洋界】</w:t>
            </w:r>
            <w:r>
              <w:rPr>
                <w:rFonts w:hint="eastAsia" w:ascii="宋体" w:hAnsi="宋体"/>
                <w:szCs w:val="21"/>
              </w:rPr>
              <w:t>（五大哨口之一，</w:t>
            </w:r>
            <w:r>
              <w:rPr>
                <w:rFonts w:ascii="宋体" w:hAnsi="宋体"/>
                <w:szCs w:val="21"/>
              </w:rPr>
              <w:t>1928</w:t>
            </w:r>
            <w:r>
              <w:rPr>
                <w:rFonts w:hint="eastAsia" w:ascii="宋体" w:hAnsi="宋体"/>
                <w:szCs w:val="21"/>
              </w:rPr>
              <w:t>年</w:t>
            </w:r>
            <w:r>
              <w:rPr>
                <w:szCs w:val="21"/>
              </w:rPr>
              <w:t>8</w:t>
            </w:r>
            <w:r>
              <w:rPr>
                <w:rFonts w:hint="eastAsia" w:ascii="宋体" w:hAnsi="宋体"/>
                <w:szCs w:val="21"/>
              </w:rPr>
              <w:t>月敌军四团攻击该地，我军兵力只有一个营，以少胜多的著名战役。</w:t>
            </w:r>
            <w:r>
              <w:rPr>
                <w:rFonts w:hint="eastAsia" w:ascii="宋体" w:hAnsi="宋体"/>
                <w:color w:val="FF0000"/>
                <w:szCs w:val="21"/>
              </w:rPr>
              <w:t>井冈山革命传统教育基地红色教育</w:t>
            </w:r>
            <w:r>
              <w:rPr>
                <w:rFonts w:hint="eastAsia" w:ascii="宋体" w:hAnsi="宋体"/>
                <w:szCs w:val="21"/>
              </w:rPr>
              <w:t>，非常值得纪念的一段学习经历。山上的风景非常雄伟壮观，一边听着历史故事，看到战争时期的旧址遗迹就仿佛历史画面就在眼前。纪念碑 炮台 旧址都值得看一看，收获非常大。参观</w:t>
            </w:r>
            <w:r>
              <w:rPr>
                <w:rFonts w:hint="eastAsia" w:ascii="宋体" w:hAnsi="宋体"/>
                <w:b/>
                <w:bCs/>
                <w:szCs w:val="21"/>
              </w:rPr>
              <w:t>【八角楼】</w:t>
            </w:r>
            <w:r>
              <w:rPr>
                <w:rFonts w:hint="eastAsia" w:ascii="宋体" w:hAnsi="宋体"/>
                <w:szCs w:val="21"/>
              </w:rPr>
              <w:t>在八角楼的清油灯下，毛委员写下了《中国的红色政权为什么能够存在》、《井冈山的斗争》、《宁冈调查》、《永新调查》等光辉著作。总结了井冈山革命根据地斗争经验，阐明了中国革命发展的规律，红色政权能够存在和发展的基本条件，提出了“工农武装割据”、“从农村包围城市” 的光辉思想。为中国革命道路指明方向。参观“中国人民解放军军政院校的摇篮”——</w:t>
            </w:r>
            <w:r>
              <w:rPr>
                <w:rFonts w:hint="eastAsia" w:ascii="宋体" w:hAnsi="宋体"/>
                <w:b/>
                <w:bCs/>
                <w:szCs w:val="21"/>
              </w:rPr>
              <w:t>【龙江书院】</w:t>
            </w:r>
            <w:r>
              <w:rPr>
                <w:rFonts w:hint="eastAsia" w:ascii="宋体" w:hAnsi="宋体"/>
                <w:szCs w:val="21"/>
              </w:rPr>
              <w:t>，</w:t>
            </w:r>
            <w:r>
              <w:rPr>
                <w:rFonts w:hint="eastAsia" w:ascii="宋体" w:hAnsi="宋体"/>
                <w:b/>
                <w:bCs/>
                <w:szCs w:val="21"/>
              </w:rPr>
              <w:t>【会师广场】</w:t>
            </w:r>
            <w:r>
              <w:rPr>
                <w:rFonts w:hint="eastAsia" w:ascii="宋体" w:hAnsi="宋体"/>
                <w:szCs w:val="21"/>
              </w:rPr>
              <w:t>在这里见证了伟大的“井冈山会师，中餐后参观</w:t>
            </w:r>
            <w:r>
              <w:rPr>
                <w:rFonts w:hint="eastAsia" w:ascii="宋体" w:hAnsi="宋体"/>
                <w:b/>
                <w:bCs/>
                <w:szCs w:val="21"/>
              </w:rPr>
              <w:t>【大井朱毛旧居</w:t>
            </w:r>
            <w:r>
              <w:rPr>
                <w:rFonts w:ascii="宋体" w:hAnsi="宋体"/>
                <w:b/>
                <w:bCs/>
                <w:szCs w:val="21"/>
              </w:rPr>
              <w:t xml:space="preserve"> </w:t>
            </w:r>
            <w:r>
              <w:rPr>
                <w:rFonts w:hint="eastAsia" w:ascii="宋体" w:hAnsi="宋体"/>
                <w:b/>
                <w:bCs/>
                <w:szCs w:val="21"/>
              </w:rPr>
              <w:t>】</w:t>
            </w:r>
            <w:r>
              <w:rPr>
                <w:rFonts w:ascii="宋体" w:hAnsi="宋体"/>
                <w:szCs w:val="21"/>
              </w:rPr>
              <w:t xml:space="preserve"> </w:t>
            </w:r>
            <w:r>
              <w:rPr>
                <w:rFonts w:hint="eastAsia" w:ascii="宋体" w:hAnsi="宋体"/>
                <w:szCs w:val="21"/>
              </w:rPr>
              <w:t>是朱毛上山后第一站居住地点，山大王王佐的家宅</w:t>
            </w:r>
            <w:r>
              <w:rPr>
                <w:rFonts w:hint="eastAsia"/>
                <w:szCs w:val="21"/>
              </w:rPr>
              <w:t>，</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3</w:t>
            </w:r>
          </w:p>
        </w:tc>
        <w:tc>
          <w:tcPr>
            <w:tcW w:w="7796" w:type="dxa"/>
            <w:vAlign w:val="center"/>
          </w:tcPr>
          <w:p>
            <w:pPr>
              <w:spacing w:line="360" w:lineRule="exact"/>
              <w:rPr>
                <w:rFonts w:hint="eastAsia" w:ascii="宋体" w:hAnsi="宋体" w:eastAsia="宋体"/>
                <w:szCs w:val="21"/>
                <w:lang w:eastAsia="zh-CN"/>
              </w:rPr>
            </w:pPr>
            <w:r>
              <w:rPr>
                <w:rFonts w:hint="eastAsia" w:ascii="宋体" w:hAnsi="宋体" w:cs="宋体"/>
                <w:b/>
                <w:bCs/>
                <w:color w:val="002060"/>
                <w:sz w:val="24"/>
              </w:rPr>
              <w:t>井冈山</w:t>
            </w:r>
            <w:r>
              <w:rPr>
                <w:rFonts w:hint="eastAsia" w:ascii="宋体" w:hAnsi="宋体" w:cs="宋体"/>
                <w:b/>
                <w:bCs/>
                <w:color w:val="002060"/>
                <w:sz w:val="24"/>
                <w:lang w:eastAsia="zh-CN"/>
              </w:rPr>
              <w:t>—瑞金</w:t>
            </w:r>
          </w:p>
          <w:p>
            <w:pPr>
              <w:spacing w:line="360" w:lineRule="exact"/>
              <w:rPr>
                <w:rFonts w:hint="eastAsia" w:ascii="宋体" w:hAnsi="宋体" w:eastAsia="宋体" w:cs="宋体"/>
                <w:szCs w:val="21"/>
                <w:lang w:eastAsia="zh-CN"/>
              </w:rPr>
            </w:pPr>
            <w:r>
              <w:rPr>
                <w:rFonts w:hint="eastAsia" w:ascii="宋体" w:hAnsi="宋体"/>
                <w:szCs w:val="21"/>
              </w:rPr>
              <w:t>早餐后，</w:t>
            </w:r>
            <w:r>
              <w:rPr>
                <w:rFonts w:hint="eastAsia"/>
                <w:szCs w:val="21"/>
              </w:rPr>
              <w:t>我国“革命摇篮”，井冈山上留下了许多革命的足迹，值得我们去瞻仰</w:t>
            </w:r>
            <w:r>
              <w:rPr>
                <w:rFonts w:hint="eastAsia"/>
                <w:szCs w:val="21"/>
                <w:lang w:eastAsia="zh-CN"/>
              </w:rPr>
              <w:t>学习，</w:t>
            </w:r>
            <w:r>
              <w:rPr>
                <w:rFonts w:hint="eastAsia"/>
                <w:szCs w:val="21"/>
              </w:rPr>
              <w:t>参观井冈山</w:t>
            </w:r>
            <w:r>
              <w:rPr>
                <w:szCs w:val="21"/>
              </w:rPr>
              <w:t>——</w:t>
            </w:r>
            <w:r>
              <w:rPr>
                <w:rFonts w:hint="eastAsia"/>
                <w:szCs w:val="21"/>
              </w:rPr>
              <w:t>“一号工程”</w:t>
            </w:r>
            <w:r>
              <w:rPr>
                <w:rFonts w:hint="eastAsia"/>
                <w:b/>
                <w:bCs/>
                <w:szCs w:val="21"/>
              </w:rPr>
              <w:t>【博物馆】</w:t>
            </w:r>
            <w:r>
              <w:rPr>
                <w:rFonts w:hint="eastAsia"/>
                <w:szCs w:val="21"/>
              </w:rPr>
              <w:t>，井冈山接受红色教育就一定要来这里，了解历史，学习铭记历</w:t>
            </w:r>
            <w:bookmarkStart w:id="0" w:name="_GoBack"/>
            <w:r>
              <w:rPr>
                <w:rFonts w:hint="eastAsia"/>
                <w:szCs w:val="21"/>
              </w:rPr>
              <w:t>史</w:t>
            </w:r>
            <w:bookmarkEnd w:id="0"/>
            <w:r>
              <w:rPr>
                <w:rFonts w:hint="eastAsia"/>
                <w:szCs w:val="21"/>
              </w:rPr>
              <w:t>，博物馆很多展品有着感人的真实故事，还有精致的一些名场面布景，尤其是战争场面，很震撼。比起书本知识更生动，更让人由衷敬佩这些革命先烈的信仰和坚定意志。（如遇政策性闭馆，取消此行程）</w:t>
            </w:r>
            <w:r>
              <w:rPr>
                <w:rFonts w:hint="eastAsia" w:ascii="宋体" w:hAnsi="宋体"/>
                <w:szCs w:val="21"/>
              </w:rPr>
              <w:t>参观</w:t>
            </w:r>
            <w:r>
              <w:rPr>
                <w:rFonts w:hint="eastAsia" w:ascii="宋体" w:hAnsi="宋体"/>
                <w:b/>
                <w:bCs/>
                <w:szCs w:val="21"/>
              </w:rPr>
              <w:t>【北山烈士陵园】</w:t>
            </w:r>
            <w:r>
              <w:rPr>
                <w:rFonts w:hint="eastAsia" w:ascii="宋体" w:hAnsi="宋体"/>
                <w:szCs w:val="21"/>
              </w:rPr>
              <w:t>（（如遇政策性闭馆，取消此行程）（由井冈山革命烈士纪念堂、井冈山碑林、井冈山雕塑园、井冈山革命烈士纪念碑组成），参观碑林</w:t>
            </w:r>
            <w:r>
              <w:rPr>
                <w:szCs w:val="21"/>
              </w:rPr>
              <w:t>140</w:t>
            </w:r>
            <w:r>
              <w:rPr>
                <w:rFonts w:hint="eastAsia" w:ascii="宋体" w:hAnsi="宋体"/>
                <w:szCs w:val="21"/>
              </w:rPr>
              <w:t>块书法碑刻，参观雕塑园有</w:t>
            </w:r>
            <w:r>
              <w:rPr>
                <w:szCs w:val="21"/>
              </w:rPr>
              <w:t>20</w:t>
            </w:r>
            <w:r>
              <w:rPr>
                <w:rFonts w:hint="eastAsia" w:ascii="宋体" w:hAnsi="宋体"/>
                <w:szCs w:val="21"/>
              </w:rPr>
              <w:t>多位革命代表人物塑像组成，如毛泽东，朱德，贺子珍等人，参观井冈山烈士纪念碑，</w:t>
            </w:r>
            <w:r>
              <w:rPr>
                <w:rFonts w:hint="eastAsia" w:ascii="宋体" w:hAnsi="宋体"/>
                <w:color w:val="FF0000"/>
                <w:szCs w:val="21"/>
              </w:rPr>
              <w:t>中国革命星星之火可以燎原的历史</w:t>
            </w:r>
            <w:r>
              <w:rPr>
                <w:rFonts w:hint="eastAsia" w:ascii="宋体" w:hAnsi="宋体"/>
                <w:szCs w:val="21"/>
              </w:rPr>
              <w:t>，在革命的关键期间在毛主席的正确领导下，向着革命的胜利进发。里面可以看的内容很多，展览很丰富。是看茨坪最佳位置，可看茨坪全景，下午</w:t>
            </w:r>
            <w:r>
              <w:rPr>
                <w:rFonts w:hint="eastAsia" w:ascii="宋体" w:hAnsi="宋体"/>
                <w:szCs w:val="21"/>
                <w:lang w:eastAsia="zh-CN"/>
              </w:rPr>
              <w:t>乘车前往瑞金</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瑞金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4</w:t>
            </w:r>
          </w:p>
        </w:tc>
        <w:tc>
          <w:tcPr>
            <w:tcW w:w="7796" w:type="dxa"/>
            <w:vAlign w:val="center"/>
          </w:tcPr>
          <w:p>
            <w:pPr>
              <w:spacing w:line="360" w:lineRule="exact"/>
              <w:rPr>
                <w:rFonts w:hint="eastAsia" w:ascii="宋体" w:hAnsi="宋体"/>
                <w:szCs w:val="21"/>
                <w:lang w:eastAsia="zh-CN"/>
              </w:rPr>
            </w:pPr>
            <w:r>
              <w:rPr>
                <w:rFonts w:hint="eastAsia" w:ascii="宋体" w:hAnsi="宋体" w:cs="宋体"/>
                <w:b/>
                <w:bCs/>
                <w:color w:val="002060"/>
                <w:sz w:val="24"/>
                <w:lang w:eastAsia="zh-CN"/>
              </w:rPr>
              <w:t>瑞金—长汀</w:t>
            </w:r>
          </w:p>
          <w:p>
            <w:pPr>
              <w:spacing w:line="360" w:lineRule="exact"/>
              <w:rPr>
                <w:rFonts w:hint="eastAsia" w:ascii="宋体" w:hAnsi="宋体" w:eastAsia="宋体"/>
                <w:szCs w:val="21"/>
                <w:lang w:eastAsia="zh-CN"/>
              </w:rPr>
            </w:pPr>
            <w:r>
              <w:rPr>
                <w:rFonts w:hint="eastAsia" w:ascii="宋体" w:hAnsi="宋体"/>
                <w:szCs w:val="21"/>
                <w:lang w:eastAsia="zh-CN"/>
              </w:rPr>
              <w:t>早餐后</w:t>
            </w:r>
            <w:r>
              <w:rPr>
                <w:rFonts w:hint="eastAsia" w:ascii="宋体" w:hAnsi="宋体"/>
                <w:szCs w:val="21"/>
              </w:rPr>
              <w:t>游览国家4A级红色景区</w:t>
            </w:r>
            <w:r>
              <w:rPr>
                <w:rFonts w:hint="eastAsia" w:ascii="宋体" w:hAnsi="宋体"/>
                <w:b/>
                <w:bCs/>
                <w:szCs w:val="21"/>
                <w:lang w:eastAsia="zh-CN"/>
              </w:rPr>
              <w:t>【</w:t>
            </w:r>
            <w:r>
              <w:rPr>
                <w:rFonts w:hint="eastAsia" w:ascii="宋体" w:hAnsi="宋体"/>
                <w:b/>
                <w:bCs/>
                <w:szCs w:val="21"/>
              </w:rPr>
              <w:t>叶坪革命旧址群</w:t>
            </w:r>
            <w:r>
              <w:rPr>
                <w:rFonts w:hint="eastAsia" w:ascii="宋体" w:hAnsi="宋体"/>
                <w:b/>
                <w:bCs/>
                <w:szCs w:val="21"/>
                <w:lang w:eastAsia="zh-CN"/>
              </w:rPr>
              <w:t>】</w:t>
            </w:r>
            <w:r>
              <w:rPr>
                <w:rFonts w:hint="eastAsia" w:ascii="宋体" w:hAnsi="宋体"/>
                <w:szCs w:val="21"/>
              </w:rPr>
              <w:t>（已含）：叶坪旧址属于瑞金共和国摇篮四大景区之首，是中央苏区早期在瑞金的驻扎地</w:t>
            </w:r>
            <w:r>
              <w:rPr>
                <w:rFonts w:hint="eastAsia" w:ascii="宋体" w:hAnsi="宋体"/>
                <w:szCs w:val="21"/>
                <w:lang w:eastAsia="zh-CN"/>
              </w:rPr>
              <w:t>，全国性的爱国主义教育基地，了解，</w:t>
            </w:r>
            <w:r>
              <w:rPr>
                <w:rFonts w:hint="eastAsia" w:ascii="宋体" w:hAnsi="宋体"/>
                <w:color w:val="FF0000"/>
                <w:szCs w:val="21"/>
                <w:lang w:eastAsia="zh-CN"/>
              </w:rPr>
              <w:t>学习当年极端艰苦的物质条件和根据地军民艰苦卓绝的奋斗精神</w:t>
            </w:r>
            <w:r>
              <w:rPr>
                <w:rFonts w:hint="eastAsia" w:ascii="宋体" w:hAnsi="宋体"/>
                <w:szCs w:val="21"/>
                <w:lang w:eastAsia="zh-CN"/>
              </w:rPr>
              <w:t>。</w:t>
            </w:r>
            <w:r>
              <w:rPr>
                <w:rFonts w:hint="eastAsia" w:ascii="宋体" w:hAnsi="宋体"/>
                <w:szCs w:val="21"/>
              </w:rPr>
              <w:t>“一苏”大会址、国家邮政局、国家银行、红色中华通讯社、中共苏区中央局、毛主席旧居、红军广场五大建筑（约10000余平方米、称为天安门广场之缩影）；沿途有机会可免费体验观看三个情景再现：1、扩红参军、2、再现“一苏大会”情景、3、活捉张辉瓒公审大会；后游览</w:t>
            </w:r>
            <w:r>
              <w:rPr>
                <w:rFonts w:hint="eastAsia" w:ascii="宋体" w:hAnsi="宋体"/>
                <w:b/>
                <w:bCs/>
                <w:szCs w:val="21"/>
                <w:lang w:eastAsia="zh-CN"/>
              </w:rPr>
              <w:t>【</w:t>
            </w:r>
            <w:r>
              <w:rPr>
                <w:rFonts w:hint="eastAsia" w:ascii="宋体" w:hAnsi="宋体"/>
                <w:b/>
                <w:bCs/>
                <w:szCs w:val="21"/>
              </w:rPr>
              <w:t>沙洲坝革命旧址群</w:t>
            </w:r>
            <w:r>
              <w:rPr>
                <w:rFonts w:hint="eastAsia" w:ascii="宋体" w:hAnsi="宋体"/>
                <w:b/>
                <w:bCs/>
                <w:szCs w:val="21"/>
                <w:lang w:eastAsia="zh-CN"/>
              </w:rPr>
              <w:t>】</w:t>
            </w:r>
            <w:r>
              <w:rPr>
                <w:rFonts w:hint="eastAsia" w:ascii="宋体" w:hAnsi="宋体"/>
                <w:szCs w:val="21"/>
              </w:rPr>
              <w:t>（已含）：“二苏”大会址、中华苏维埃临时中央政府大礼堂、中央执行委员会旧址、中央人民委员会旧址、毛主席旧居、红井的水依然是那么的甜，老区的人仍然是那么的淳朴。来到沙洲坝，一个个红色政权早期的部委原址呈现在我们眼前，毛泽东等老一辈无产阶级革命家的简朴旧居震憾着我们，</w:t>
            </w:r>
            <w:r>
              <w:rPr>
                <w:rFonts w:hint="eastAsia" w:ascii="宋体" w:hAnsi="宋体"/>
                <w:color w:val="FF0000"/>
                <w:szCs w:val="21"/>
              </w:rPr>
              <w:t>“吃水不忘打井人，时刻想念毛主席”</w:t>
            </w:r>
            <w:r>
              <w:rPr>
                <w:rFonts w:hint="eastAsia" w:ascii="宋体" w:hAnsi="宋体"/>
                <w:szCs w:val="21"/>
              </w:rPr>
              <w:t>，光荣的苏区历史为瑞金留下了众多独特的革命旧居旧址和精神遗产</w:t>
            </w:r>
            <w:r>
              <w:rPr>
                <w:rFonts w:hint="eastAsia" w:ascii="宋体" w:hAnsi="宋体"/>
                <w:szCs w:val="21"/>
                <w:lang w:eastAsia="zh-CN"/>
              </w:rPr>
              <w:t>，</w:t>
            </w:r>
            <w:r>
              <w:rPr>
                <w:rFonts w:hint="eastAsia" w:ascii="宋体" w:hAnsi="宋体"/>
                <w:szCs w:val="21"/>
              </w:rPr>
              <w:t>红井（友情提醒：带一瓶“饮水思源红井圣水——保平安、保健康”）</w:t>
            </w:r>
            <w:r>
              <w:rPr>
                <w:rFonts w:hint="eastAsia" w:ascii="宋体" w:hAnsi="宋体"/>
                <w:szCs w:val="21"/>
                <w:lang w:eastAsia="zh-CN"/>
              </w:rPr>
              <w:t>前往长汀</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cs="宋体"/>
                <w:szCs w:val="21"/>
                <w:lang w:eastAsia="zh-CN"/>
              </w:rPr>
            </w:pPr>
            <w:r>
              <w:rPr>
                <w:rFonts w:hint="eastAsia" w:ascii="宋体" w:hAnsi="宋体" w:cs="宋体"/>
                <w:szCs w:val="21"/>
                <w:lang w:eastAsia="zh-CN"/>
              </w:rPr>
              <w:t>长汀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5</w:t>
            </w:r>
          </w:p>
        </w:tc>
        <w:tc>
          <w:tcPr>
            <w:tcW w:w="7796" w:type="dxa"/>
            <w:vAlign w:val="center"/>
          </w:tcPr>
          <w:p>
            <w:pPr>
              <w:spacing w:line="360" w:lineRule="exact"/>
              <w:rPr>
                <w:rFonts w:hint="eastAsia" w:ascii="宋体" w:hAnsi="宋体" w:eastAsia="宋体" w:cs="宋体"/>
                <w:bCs/>
                <w:color w:val="000000"/>
                <w:szCs w:val="21"/>
                <w:lang w:eastAsia="zh-CN"/>
              </w:rPr>
            </w:pPr>
            <w:r>
              <w:rPr>
                <w:rFonts w:hint="eastAsia" w:ascii="宋体" w:hAnsi="宋体" w:cs="宋体"/>
                <w:b/>
                <w:bCs/>
                <w:color w:val="002060"/>
                <w:sz w:val="24"/>
                <w:lang w:eastAsia="zh-CN"/>
              </w:rPr>
              <w:t>长汀</w:t>
            </w:r>
            <w:r>
              <w:rPr>
                <w:rFonts w:hint="eastAsia" w:ascii="宋体" w:hAnsi="宋体" w:cs="宋体"/>
                <w:b/>
                <w:bCs/>
                <w:color w:val="002060"/>
                <w:sz w:val="24"/>
              </w:rPr>
              <w:t>-</w:t>
            </w:r>
            <w:r>
              <w:rPr>
                <w:rFonts w:hint="eastAsia" w:ascii="宋体" w:hAnsi="宋体" w:cs="宋体"/>
                <w:b/>
                <w:bCs/>
                <w:color w:val="002060"/>
                <w:sz w:val="24"/>
                <w:lang w:eastAsia="zh-CN"/>
              </w:rPr>
              <w:t>南昌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000000"/>
                <w:szCs w:val="21"/>
                <w:lang w:eastAsia="zh-CN"/>
              </w:rPr>
            </w:pPr>
            <w:r>
              <w:rPr>
                <w:rFonts w:hint="eastAsia" w:ascii="宋体" w:hAnsi="宋体" w:cs="宋体"/>
                <w:bCs/>
                <w:color w:val="000000"/>
                <w:szCs w:val="21"/>
              </w:rPr>
              <w:t>早餐后，参观共产党早期的主要领导人之一，瞿秋白的就义地、纪念碑、纪念馆，缅怀烈士短暂而光辉的一生，继承和发扬烈士崇高的革命精神和高尚的品格，激励大家为建设一个强盛的大中国而努力奋斗。参观共和国上将</w:t>
            </w:r>
            <w:r>
              <w:rPr>
                <w:rFonts w:hint="eastAsia" w:ascii="宋体" w:hAnsi="宋体" w:cs="宋体"/>
                <w:b/>
                <w:bCs w:val="0"/>
                <w:color w:val="000000"/>
                <w:szCs w:val="21"/>
              </w:rPr>
              <w:t>【杨成武将军的铜像广场、纪念馆】</w:t>
            </w:r>
            <w:r>
              <w:rPr>
                <w:rFonts w:hint="eastAsia" w:ascii="宋体" w:hAnsi="宋体" w:cs="宋体"/>
                <w:bCs/>
                <w:color w:val="000000"/>
                <w:szCs w:val="21"/>
              </w:rPr>
              <w:t>——学习这位红土地上走出的铁血将军，为革命舍生忘死，英勇顽强的革命英雄主义，百死不悔的革命精神。参观长汀县博物馆（汀州试院、省苏旧址，瞿秋白囚室，闽籍将军馆）了解中国历史文化名城、客家首府、红军故乡悠久而辉煌的历史；了解“省苏“为支援革命战争，建设苏区，保卫苏区所作出的不可磨灭的贡献；了解那些在血与火的洗礼中挺拔的福建籍的将军。步行前往游览建于唐大历四年的--</w:t>
            </w:r>
            <w:r>
              <w:rPr>
                <w:rFonts w:hint="eastAsia" w:ascii="宋体" w:hAnsi="宋体" w:cs="宋体"/>
                <w:b/>
                <w:bCs w:val="0"/>
                <w:color w:val="000000"/>
                <w:szCs w:val="21"/>
              </w:rPr>
              <w:t>【汀州古城墙、明清古街】</w:t>
            </w:r>
            <w:r>
              <w:rPr>
                <w:rFonts w:hint="eastAsia" w:ascii="宋体" w:hAnsi="宋体" w:cs="宋体"/>
                <w:bCs/>
                <w:color w:val="000000"/>
                <w:szCs w:val="21"/>
              </w:rPr>
              <w:t>是长汀四大历史传统街区之一，是汀州城最早的商业街区，环抱全城，形成宛如‘观音挂珠’。</w:t>
            </w:r>
            <w:r>
              <w:rPr>
                <w:rFonts w:hint="eastAsia" w:ascii="宋体" w:hAnsi="宋体" w:cs="宋体"/>
                <w:bCs/>
                <w:color w:val="000000"/>
                <w:szCs w:val="21"/>
                <w:lang w:eastAsia="zh-CN"/>
              </w:rPr>
              <w:t>前往南昌</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6</w:t>
            </w:r>
          </w:p>
        </w:tc>
        <w:tc>
          <w:tcPr>
            <w:tcW w:w="7796" w:type="dxa"/>
            <w:vAlign w:val="center"/>
          </w:tcPr>
          <w:p>
            <w:pPr>
              <w:spacing w:line="360" w:lineRule="exact"/>
              <w:rPr>
                <w:rFonts w:hint="eastAsia" w:ascii="宋体" w:hAnsi="宋体" w:cs="宋体"/>
                <w:bCs/>
                <w:color w:val="000000"/>
                <w:szCs w:val="21"/>
                <w:lang w:eastAsia="zh-CN"/>
              </w:rPr>
            </w:pPr>
            <w:r>
              <w:rPr>
                <w:rFonts w:hint="eastAsia" w:ascii="宋体" w:hAnsi="宋体" w:cs="宋体"/>
                <w:b/>
                <w:bCs/>
                <w:color w:val="002060"/>
                <w:sz w:val="24"/>
                <w:lang w:eastAsia="zh-CN"/>
              </w:rPr>
              <w:t>南昌—曲靖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eastAsia="zh-CN"/>
              </w:rPr>
              <w:t>早餐后，</w:t>
            </w:r>
            <w:r>
              <w:rPr>
                <w:rFonts w:hint="eastAsia" w:ascii="宋体" w:hAnsi="宋体" w:eastAsia="宋体" w:cs="宋体"/>
                <w:sz w:val="21"/>
                <w:szCs w:val="21"/>
                <w:lang w:eastAsia="zh-CN"/>
              </w:rPr>
              <w:t>前往南昌</w:t>
            </w:r>
            <w:r>
              <w:rPr>
                <w:rFonts w:hint="eastAsia" w:ascii="宋体" w:hAnsi="宋体" w:eastAsia="宋体" w:cs="宋体"/>
                <w:sz w:val="21"/>
                <w:szCs w:val="21"/>
                <w:lang w:val="en-US" w:eastAsia="zh-CN"/>
              </w:rPr>
              <w:t>游览江南三大名楼之首的</w:t>
            </w:r>
            <w:r>
              <w:rPr>
                <w:rFonts w:hint="eastAsia" w:ascii="宋体" w:hAnsi="宋体" w:eastAsia="宋体" w:cs="宋体"/>
                <w:b/>
                <w:bCs/>
                <w:sz w:val="21"/>
                <w:szCs w:val="21"/>
                <w:lang w:val="en-US" w:eastAsia="zh-CN"/>
              </w:rPr>
              <w:t>滕王阁</w:t>
            </w:r>
            <w:r>
              <w:rPr>
                <w:rFonts w:hint="eastAsia" w:ascii="宋体" w:hAnsi="宋体" w:eastAsia="宋体" w:cs="宋体"/>
                <w:sz w:val="21"/>
                <w:szCs w:val="21"/>
                <w:lang w:val="en-US" w:eastAsia="zh-CN"/>
              </w:rPr>
              <w:t>（门票50元/人已含）“飞阁流丹，下临无地”、“落霞与孤鹜齐飞，秋水共长天一色。”这是王勃盛赞滕王阁的名句，亲临“军旗升起的地方”八一广场，全国百家爱国主义教育示范基地-八一起义纪念馆（周一闭馆）</w:t>
            </w:r>
            <w:r>
              <w:rPr>
                <w:rFonts w:hint="eastAsia" w:ascii="宋体" w:hAnsi="宋体" w:cs="宋体"/>
                <w:sz w:val="21"/>
                <w:szCs w:val="21"/>
                <w:lang w:val="en-US" w:eastAsia="zh-CN"/>
              </w:rPr>
              <w:t>，</w:t>
            </w:r>
            <w:r>
              <w:rPr>
                <w:rFonts w:hint="eastAsia" w:ascii="宋体" w:hAnsi="宋体" w:cs="宋体"/>
                <w:bCs/>
                <w:color w:val="000000"/>
                <w:szCs w:val="21"/>
                <w:lang w:eastAsia="zh-CN"/>
              </w:rPr>
              <w:t>根据高铁时间前往车站乘坐高铁回曲靖，结束愉快的旅程！</w:t>
            </w:r>
          </w:p>
        </w:tc>
        <w:tc>
          <w:tcPr>
            <w:tcW w:w="855" w:type="dxa"/>
            <w:vAlign w:val="center"/>
          </w:tcPr>
          <w:p>
            <w:pPr>
              <w:spacing w:line="360" w:lineRule="exact"/>
              <w:jc w:val="center"/>
              <w:rPr>
                <w:rFonts w:hint="eastAsia" w:ascii="宋体" w:hAnsi="宋体" w:cs="宋体"/>
                <w:szCs w:val="21"/>
              </w:rPr>
            </w:pPr>
          </w:p>
        </w:tc>
        <w:tc>
          <w:tcPr>
            <w:tcW w:w="1140" w:type="dxa"/>
            <w:vAlign w:val="center"/>
          </w:tcPr>
          <w:p>
            <w:pPr>
              <w:spacing w:line="360" w:lineRule="exact"/>
              <w:jc w:val="center"/>
              <w:rPr>
                <w:rFonts w:hint="eastAsia" w:ascii="宋体" w:hAnsi="宋体" w:cs="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服务标准</w:t>
            </w:r>
          </w:p>
        </w:tc>
        <w:tc>
          <w:tcPr>
            <w:tcW w:w="9791" w:type="dxa"/>
            <w:gridSpan w:val="3"/>
            <w:vAlign w:val="center"/>
          </w:tcPr>
          <w:p>
            <w:pPr>
              <w:spacing w:line="360" w:lineRule="exact"/>
              <w:ind w:right="-458" w:rightChars="-218"/>
              <w:rPr>
                <w:rFonts w:ascii="宋体" w:hAnsi="宋体" w:cs="宋体"/>
                <w:szCs w:val="21"/>
              </w:rPr>
            </w:pPr>
            <w:r>
              <w:rPr>
                <w:rFonts w:hint="eastAsia" w:ascii="宋体" w:hAnsi="宋体" w:cs="宋体"/>
                <w:szCs w:val="21"/>
              </w:rPr>
              <w:t>1.交通：往返交通；当地为空调旅游车；</w:t>
            </w:r>
          </w:p>
          <w:p>
            <w:pPr>
              <w:pStyle w:val="7"/>
              <w:spacing w:line="360" w:lineRule="exact"/>
              <w:rPr>
                <w:rFonts w:hint="default" w:eastAsia="宋体"/>
                <w:szCs w:val="21"/>
                <w:lang w:val="en-US" w:eastAsia="zh-CN"/>
              </w:rPr>
            </w:pPr>
            <w:r>
              <w:rPr>
                <w:rFonts w:hint="eastAsia"/>
                <w:szCs w:val="21"/>
              </w:rPr>
              <w:t>2.门票：</w:t>
            </w:r>
            <w:r>
              <w:rPr>
                <w:rFonts w:hint="eastAsia"/>
                <w:b/>
                <w:bCs/>
                <w:color w:val="000000"/>
                <w:szCs w:val="21"/>
                <w:shd w:val="clear" w:color="auto" w:fill="FFFFFF"/>
              </w:rPr>
              <w:t>温馨提醒：</w:t>
            </w:r>
            <w:r>
              <w:rPr>
                <w:rFonts w:hint="eastAsia"/>
                <w:szCs w:val="21"/>
                <w:lang w:eastAsia="zh-CN"/>
              </w:rPr>
              <w:t>行程所列大门票已含，井冈山观光车</w:t>
            </w:r>
          </w:p>
          <w:p>
            <w:pPr>
              <w:numPr>
                <w:ilvl w:val="0"/>
                <w:numId w:val="0"/>
              </w:numPr>
              <w:spacing w:line="320" w:lineRule="exact"/>
              <w:ind w:right="-359" w:rightChars="-171"/>
              <w:rPr>
                <w:rFonts w:ascii="宋体" w:hAnsi="宋体" w:cs="宋体"/>
                <w:szCs w:val="21"/>
              </w:rPr>
            </w:pPr>
            <w:r>
              <w:rPr>
                <w:rFonts w:hint="eastAsia" w:ascii="宋体" w:hAnsi="宋体" w:cs="宋体"/>
                <w:szCs w:val="21"/>
              </w:rPr>
              <w:t xml:space="preserve">住宿：宾馆标间住宿 （2-3人间）     </w:t>
            </w:r>
          </w:p>
          <w:p>
            <w:pPr>
              <w:spacing w:line="360" w:lineRule="exact"/>
              <w:ind w:right="-359" w:rightChars="-171" w:firstLine="843" w:firstLineChars="400"/>
              <w:rPr>
                <w:rFonts w:ascii="宋体" w:hAnsi="宋体" w:cs="宋体"/>
                <w:szCs w:val="21"/>
              </w:rPr>
            </w:pPr>
            <w:r>
              <w:rPr>
                <w:rFonts w:hint="eastAsia" w:ascii="宋体" w:hAnsi="宋体" w:cs="宋体"/>
                <w:b/>
                <w:bCs/>
                <w:color w:val="000000"/>
                <w:szCs w:val="21"/>
                <w:shd w:val="clear" w:color="auto" w:fill="FFFFFF"/>
              </w:rPr>
              <w:t>温馨提醒：</w:t>
            </w:r>
            <w:r>
              <w:rPr>
                <w:rFonts w:hint="eastAsia" w:ascii="宋体" w:hAnsi="宋体" w:cs="宋体"/>
                <w:color w:val="000000"/>
                <w:szCs w:val="21"/>
                <w:shd w:val="clear" w:color="auto" w:fill="FFFFFF"/>
              </w:rPr>
              <w:t>因地域原因，当地景区酒店星级标准不能与大城市同级酒店相比，敬请谅解</w:t>
            </w:r>
          </w:p>
          <w:p>
            <w:pPr>
              <w:numPr>
                <w:ilvl w:val="0"/>
                <w:numId w:val="1"/>
              </w:numPr>
              <w:spacing w:line="360" w:lineRule="exact"/>
              <w:ind w:left="-15" w:right="-359" w:rightChars="-171"/>
              <w:rPr>
                <w:rFonts w:ascii="宋体" w:hAnsi="宋体" w:cs="宋体"/>
                <w:color w:val="000000"/>
                <w:szCs w:val="21"/>
              </w:rPr>
            </w:pPr>
            <w:r>
              <w:rPr>
                <w:rFonts w:hint="eastAsia" w:ascii="宋体" w:hAnsi="宋体" w:cs="宋体"/>
                <w:szCs w:val="21"/>
              </w:rPr>
              <w:t>膳食：含</w:t>
            </w:r>
            <w:r>
              <w:rPr>
                <w:rFonts w:hint="eastAsia" w:ascii="宋体" w:hAnsi="宋体" w:cs="宋体"/>
                <w:szCs w:val="21"/>
                <w:lang w:val="en-US" w:eastAsia="zh-CN"/>
              </w:rPr>
              <w:t>5</w:t>
            </w:r>
            <w:r>
              <w:rPr>
                <w:rFonts w:hint="eastAsia" w:ascii="宋体" w:hAnsi="宋体" w:cs="宋体"/>
                <w:szCs w:val="21"/>
              </w:rPr>
              <w:t>早</w:t>
            </w:r>
            <w:r>
              <w:rPr>
                <w:rFonts w:hint="eastAsia" w:ascii="宋体" w:hAnsi="宋体" w:cs="宋体"/>
                <w:szCs w:val="21"/>
                <w:lang w:val="en-US" w:eastAsia="zh-CN"/>
              </w:rPr>
              <w:t>8</w:t>
            </w:r>
            <w:r>
              <w:rPr>
                <w:rFonts w:hint="eastAsia" w:ascii="宋体" w:hAnsi="宋体" w:cs="宋体"/>
                <w:szCs w:val="21"/>
              </w:rPr>
              <w:t>正（</w:t>
            </w:r>
            <w:r>
              <w:rPr>
                <w:rFonts w:hint="eastAsia" w:ascii="宋体" w:hAnsi="宋体" w:cs="宋体"/>
                <w:color w:val="000000"/>
                <w:szCs w:val="21"/>
              </w:rPr>
              <w:t>10人1桌8菜1汤，未满10人视人数减少而相应减少菜数量</w:t>
            </w:r>
            <w:r>
              <w:rPr>
                <w:rFonts w:hint="eastAsia" w:ascii="宋体" w:hAnsi="宋体" w:cs="宋体"/>
                <w:szCs w:val="21"/>
              </w:rPr>
              <w:t>）</w:t>
            </w:r>
          </w:p>
          <w:p>
            <w:pPr>
              <w:spacing w:line="360" w:lineRule="exact"/>
              <w:ind w:left="840" w:leftChars="400" w:right="-359" w:rightChars="-171"/>
              <w:rPr>
                <w:rFonts w:ascii="宋体" w:hAnsi="宋体" w:cs="宋体"/>
                <w:color w:val="000000"/>
                <w:szCs w:val="21"/>
              </w:rPr>
            </w:pPr>
            <w:r>
              <w:rPr>
                <w:rFonts w:hint="eastAsia" w:ascii="宋体" w:hAnsi="宋体" w:cs="宋体"/>
                <w:b/>
                <w:bCs/>
                <w:color w:val="000000"/>
                <w:szCs w:val="21"/>
                <w:shd w:val="clear" w:color="auto" w:fill="FFFFFF"/>
              </w:rPr>
              <w:t>温馨提醒：</w:t>
            </w:r>
            <w:r>
              <w:rPr>
                <w:rFonts w:hint="eastAsia" w:ascii="宋体" w:hAnsi="宋体" w:cs="宋体"/>
                <w:szCs w:val="21"/>
              </w:rPr>
              <w:t>未含正餐可委托导游代订。</w:t>
            </w:r>
          </w:p>
          <w:p>
            <w:pPr>
              <w:numPr>
                <w:ilvl w:val="0"/>
                <w:numId w:val="1"/>
              </w:numPr>
              <w:spacing w:line="360" w:lineRule="exact"/>
              <w:ind w:left="-15"/>
              <w:rPr>
                <w:rFonts w:ascii="宋体" w:hAnsi="宋体" w:cs="宋体"/>
                <w:szCs w:val="21"/>
              </w:rPr>
            </w:pPr>
            <w:r>
              <w:rPr>
                <w:rFonts w:hint="eastAsia" w:ascii="宋体" w:hAnsi="宋体" w:cs="宋体"/>
                <w:szCs w:val="21"/>
              </w:rPr>
              <w:t>导游：持国证地接导游服务；</w:t>
            </w:r>
          </w:p>
          <w:p>
            <w:pPr>
              <w:spacing w:line="360" w:lineRule="exact"/>
              <w:rPr>
                <w:rFonts w:ascii="宋体" w:hAnsi="宋体" w:cs="宋体"/>
                <w:szCs w:val="21"/>
              </w:rPr>
            </w:pPr>
            <w:r>
              <w:rPr>
                <w:rFonts w:hint="eastAsia" w:ascii="宋体" w:hAnsi="宋体" w:cs="宋体"/>
                <w:szCs w:val="21"/>
              </w:rPr>
              <w:t>5.保险：含组合险（强烈建议客人购买意外险）</w:t>
            </w:r>
          </w:p>
          <w:p>
            <w:pPr>
              <w:spacing w:line="360" w:lineRule="exact"/>
              <w:rPr>
                <w:rFonts w:ascii="宋体" w:hAnsi="宋体" w:cs="宋体"/>
                <w:szCs w:val="21"/>
              </w:rPr>
            </w:pPr>
            <w:r>
              <w:rPr>
                <w:rFonts w:hint="eastAsia" w:ascii="宋体" w:hAnsi="宋体" w:cs="宋体"/>
                <w:szCs w:val="21"/>
              </w:rPr>
              <w:t>6.客人中途如需自行脱团，每人需补交100元/天！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温馨提示</w:t>
            </w:r>
          </w:p>
        </w:tc>
        <w:tc>
          <w:tcPr>
            <w:tcW w:w="9791" w:type="dxa"/>
            <w:gridSpan w:val="3"/>
            <w:vAlign w:val="center"/>
          </w:tcPr>
          <w:p>
            <w:pPr>
              <w:spacing w:line="400" w:lineRule="exact"/>
              <w:rPr>
                <w:rFonts w:ascii="微软雅黑" w:hAnsi="微软雅黑" w:eastAsia="微软雅黑"/>
                <w:b/>
                <w:bCs/>
              </w:rPr>
            </w:pPr>
            <w:r>
              <w:rPr>
                <w:rFonts w:hint="eastAsia" w:ascii="微软雅黑" w:hAnsi="微软雅黑" w:eastAsia="微软雅黑"/>
                <w:b/>
                <w:bCs/>
              </w:rPr>
              <w:t>（请仔细阅读）：</w:t>
            </w:r>
          </w:p>
          <w:p>
            <w:pPr>
              <w:spacing w:line="400" w:lineRule="exact"/>
              <w:rPr>
                <w:rFonts w:ascii="微软雅黑" w:hAnsi="微软雅黑" w:eastAsia="微软雅黑"/>
                <w:b/>
                <w:bCs/>
              </w:rPr>
            </w:pPr>
            <w:r>
              <w:rPr>
                <w:rFonts w:hint="eastAsia" w:ascii="微软雅黑" w:hAnsi="微软雅黑" w:eastAsia="微软雅黑"/>
                <w:b/>
                <w:bCs/>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spacing w:line="400" w:lineRule="exact"/>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spacing w:line="400" w:lineRule="exact"/>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spacing w:line="400" w:lineRule="exact"/>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spacing w:line="400" w:lineRule="exact"/>
              <w:rPr>
                <w:rFonts w:ascii="微软雅黑" w:hAnsi="微软雅黑" w:eastAsia="微软雅黑"/>
                <w:b/>
                <w:bCs/>
              </w:rPr>
            </w:pPr>
            <w:r>
              <w:rPr>
                <w:rFonts w:hint="eastAsia" w:ascii="微软雅黑" w:hAnsi="微软雅黑" w:eastAsia="微软雅黑"/>
                <w:b/>
                <w:bCs/>
              </w:rPr>
              <w:t>20、</w:t>
            </w:r>
            <w:r>
              <w:rPr>
                <w:rFonts w:hint="eastAsia" w:ascii="微软雅黑" w:hAnsi="微软雅黑" w:eastAsia="微软雅黑"/>
                <w:b/>
                <w:bCs/>
                <w:color w:val="FF0000"/>
              </w:rPr>
              <w:t>特别提醒：</w:t>
            </w:r>
          </w:p>
          <w:p>
            <w:pPr>
              <w:spacing w:line="400" w:lineRule="exact"/>
              <w:rPr>
                <w:rFonts w:ascii="微软雅黑" w:hAnsi="微软雅黑" w:eastAsia="微软雅黑" w:cs="新宋体"/>
                <w:b/>
                <w:bCs/>
                <w:kern w:val="0"/>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3" w:firstLineChars="49"/>
              <w:rPr>
                <w:rFonts w:ascii="宋体" w:hAnsi="宋体" w:cs="宋体"/>
                <w:b/>
                <w:bCs/>
                <w:kern w:val="0"/>
                <w:szCs w:val="21"/>
              </w:rPr>
            </w:pPr>
          </w:p>
        </w:tc>
      </w:tr>
    </w:tbl>
    <w:p>
      <w:pPr>
        <w:rPr>
          <w:rFonts w:ascii="宋体"/>
          <w:b/>
          <w:color w:val="000000"/>
          <w:sz w:val="24"/>
        </w:rPr>
      </w:pPr>
    </w:p>
    <w:sectPr>
      <w:pgSz w:w="11906" w:h="16838"/>
      <w:pgMar w:top="1134" w:right="720" w:bottom="567"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B"/>
    <w:rsid w:val="001E1F38"/>
    <w:rsid w:val="002D57C0"/>
    <w:rsid w:val="00367C00"/>
    <w:rsid w:val="00423A6A"/>
    <w:rsid w:val="00A76651"/>
    <w:rsid w:val="00BB2C7B"/>
    <w:rsid w:val="00CA47D0"/>
    <w:rsid w:val="00CD0160"/>
    <w:rsid w:val="00E419FD"/>
    <w:rsid w:val="00E47C97"/>
    <w:rsid w:val="038D5B9C"/>
    <w:rsid w:val="077F677F"/>
    <w:rsid w:val="07CC71DB"/>
    <w:rsid w:val="084E4F28"/>
    <w:rsid w:val="0866720F"/>
    <w:rsid w:val="08833E4A"/>
    <w:rsid w:val="0B1375FF"/>
    <w:rsid w:val="0C2744D6"/>
    <w:rsid w:val="12055413"/>
    <w:rsid w:val="12357415"/>
    <w:rsid w:val="12C124FF"/>
    <w:rsid w:val="13E11E8F"/>
    <w:rsid w:val="15B54C3C"/>
    <w:rsid w:val="15FE1C7F"/>
    <w:rsid w:val="1653120A"/>
    <w:rsid w:val="1813442D"/>
    <w:rsid w:val="187C512E"/>
    <w:rsid w:val="1C925647"/>
    <w:rsid w:val="1CDF3044"/>
    <w:rsid w:val="1D3640AD"/>
    <w:rsid w:val="1EA37B66"/>
    <w:rsid w:val="1F141EBC"/>
    <w:rsid w:val="1F5E211E"/>
    <w:rsid w:val="200A7B1D"/>
    <w:rsid w:val="230E25AC"/>
    <w:rsid w:val="239F6B8F"/>
    <w:rsid w:val="29A922B6"/>
    <w:rsid w:val="2A2D2F6A"/>
    <w:rsid w:val="2B0C41B3"/>
    <w:rsid w:val="2BC057E9"/>
    <w:rsid w:val="2DBB1083"/>
    <w:rsid w:val="30037F15"/>
    <w:rsid w:val="30162B7B"/>
    <w:rsid w:val="30C63089"/>
    <w:rsid w:val="336358D8"/>
    <w:rsid w:val="338213F7"/>
    <w:rsid w:val="3527065A"/>
    <w:rsid w:val="36DB27C1"/>
    <w:rsid w:val="3B085BA5"/>
    <w:rsid w:val="3BCE7D8D"/>
    <w:rsid w:val="3BD41217"/>
    <w:rsid w:val="3CA20ECA"/>
    <w:rsid w:val="3ECB3211"/>
    <w:rsid w:val="3F962177"/>
    <w:rsid w:val="40046D63"/>
    <w:rsid w:val="40345AE1"/>
    <w:rsid w:val="41C73BBC"/>
    <w:rsid w:val="424F1E61"/>
    <w:rsid w:val="42C50401"/>
    <w:rsid w:val="44603F5D"/>
    <w:rsid w:val="48512058"/>
    <w:rsid w:val="48D7796F"/>
    <w:rsid w:val="499F39CD"/>
    <w:rsid w:val="49F40BDB"/>
    <w:rsid w:val="4B0F6FE8"/>
    <w:rsid w:val="4B1A46C4"/>
    <w:rsid w:val="4BBA69BC"/>
    <w:rsid w:val="4E360C48"/>
    <w:rsid w:val="4EA72ABE"/>
    <w:rsid w:val="50CF555F"/>
    <w:rsid w:val="51083FEF"/>
    <w:rsid w:val="51717BCD"/>
    <w:rsid w:val="53BB4FF0"/>
    <w:rsid w:val="569461CF"/>
    <w:rsid w:val="574832D5"/>
    <w:rsid w:val="57761866"/>
    <w:rsid w:val="577E3403"/>
    <w:rsid w:val="57BD3E97"/>
    <w:rsid w:val="58697E59"/>
    <w:rsid w:val="5AEF273D"/>
    <w:rsid w:val="5B5D1374"/>
    <w:rsid w:val="5E063399"/>
    <w:rsid w:val="5E0A2801"/>
    <w:rsid w:val="5FAC4F73"/>
    <w:rsid w:val="6074622D"/>
    <w:rsid w:val="63274539"/>
    <w:rsid w:val="636A58E9"/>
    <w:rsid w:val="63966695"/>
    <w:rsid w:val="64C57BA5"/>
    <w:rsid w:val="6567235A"/>
    <w:rsid w:val="656D40D8"/>
    <w:rsid w:val="6A373BF4"/>
    <w:rsid w:val="6B6011C8"/>
    <w:rsid w:val="6C9878DA"/>
    <w:rsid w:val="6CD94B49"/>
    <w:rsid w:val="6D93382E"/>
    <w:rsid w:val="6F2C1D50"/>
    <w:rsid w:val="737705E6"/>
    <w:rsid w:val="73A91678"/>
    <w:rsid w:val="758C7606"/>
    <w:rsid w:val="775D717D"/>
    <w:rsid w:val="798A07AF"/>
    <w:rsid w:val="7AA50939"/>
    <w:rsid w:val="7D2F355F"/>
    <w:rsid w:val="7DC6033F"/>
    <w:rsid w:val="7DF758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keepNext/>
      <w:keepLines/>
      <w:spacing w:line="576" w:lineRule="auto"/>
      <w:outlineLvl w:val="0"/>
    </w:pPr>
    <w:rPr>
      <w:b/>
      <w:kern w:val="44"/>
      <w:sz w:val="44"/>
    </w:rPr>
  </w:style>
  <w:style w:type="paragraph" w:styleId="3">
    <w:name w:val="heading 2"/>
    <w:basedOn w:val="1"/>
    <w:next w:val="1"/>
    <w:link w:val="17"/>
    <w:qFormat/>
    <w:uiPriority w:val="9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2"/>
    <w:qFormat/>
    <w:uiPriority w:val="99"/>
    <w:pPr>
      <w:spacing w:line="300" w:lineRule="exact"/>
      <w:ind w:left="210" w:hanging="210" w:hangingChars="100"/>
    </w:pPr>
    <w:rPr>
      <w:rFonts w:ascii="新宋体" w:hAnsi="新宋体" w:eastAsia="新宋体"/>
      <w:kern w:val="0"/>
      <w:sz w:val="20"/>
      <w:szCs w:val="20"/>
    </w:r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宋体" w:hAnsi="宋体" w:cs="宋体"/>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FollowedHyperlink"/>
    <w:basedOn w:val="10"/>
    <w:qFormat/>
    <w:uiPriority w:val="99"/>
    <w:rPr>
      <w:rFonts w:cs="Times New Roman"/>
      <w:color w:val="800080"/>
      <w:u w:val="single"/>
    </w:rPr>
  </w:style>
  <w:style w:type="character" w:styleId="13">
    <w:name w:val="line number"/>
    <w:basedOn w:val="10"/>
    <w:qFormat/>
    <w:uiPriority w:val="99"/>
    <w:rPr>
      <w:rFonts w:cs="Times New Roman"/>
    </w:rPr>
  </w:style>
  <w:style w:type="character" w:styleId="14">
    <w:name w:val="HTML Acronym"/>
    <w:basedOn w:val="13"/>
    <w:qFormat/>
    <w:uiPriority w:val="99"/>
  </w:style>
  <w:style w:type="character" w:styleId="15">
    <w:name w:val="Hyperlink"/>
    <w:basedOn w:val="10"/>
    <w:qFormat/>
    <w:uiPriority w:val="99"/>
    <w:rPr>
      <w:rFonts w:cs="Times New Roman"/>
      <w:color w:val="0000FF"/>
      <w:u w:val="single"/>
    </w:rPr>
  </w:style>
  <w:style w:type="character" w:customStyle="1" w:styleId="16">
    <w:name w:val="标题 1 Char"/>
    <w:basedOn w:val="10"/>
    <w:link w:val="2"/>
    <w:qFormat/>
    <w:uiPriority w:val="99"/>
    <w:rPr>
      <w:rFonts w:ascii="Calibri" w:hAnsi="Calibri" w:cs="Times New Roman"/>
      <w:b/>
      <w:bCs/>
      <w:kern w:val="44"/>
      <w:sz w:val="44"/>
      <w:szCs w:val="44"/>
    </w:rPr>
  </w:style>
  <w:style w:type="character" w:customStyle="1" w:styleId="17">
    <w:name w:val="标题 2 Char"/>
    <w:basedOn w:val="10"/>
    <w:link w:val="3"/>
    <w:qFormat/>
    <w:uiPriority w:val="99"/>
    <w:rPr>
      <w:rFonts w:ascii="Cambria" w:hAnsi="Cambria" w:eastAsia="宋体" w:cs="Times New Roman"/>
      <w:b/>
      <w:bCs/>
      <w:sz w:val="32"/>
      <w:szCs w:val="32"/>
    </w:rPr>
  </w:style>
  <w:style w:type="character" w:customStyle="1" w:styleId="18">
    <w:name w:val="Body Text Indent Char"/>
    <w:basedOn w:val="10"/>
    <w:link w:val="4"/>
    <w:qFormat/>
    <w:uiPriority w:val="99"/>
    <w:rPr>
      <w:rFonts w:ascii="新宋体" w:hAnsi="新宋体" w:eastAsia="新宋体" w:cs="Times New Roman"/>
    </w:rPr>
  </w:style>
  <w:style w:type="character" w:customStyle="1" w:styleId="19">
    <w:name w:val="star2"/>
    <w:basedOn w:val="10"/>
    <w:qFormat/>
    <w:uiPriority w:val="99"/>
    <w:rPr>
      <w:rFonts w:cs="Times New Roman"/>
    </w:rPr>
  </w:style>
  <w:style w:type="character" w:customStyle="1" w:styleId="20">
    <w:name w:val="star21"/>
    <w:basedOn w:val="10"/>
    <w:qFormat/>
    <w:uiPriority w:val="99"/>
    <w:rPr>
      <w:rFonts w:cs="Times New Roman"/>
    </w:rPr>
  </w:style>
  <w:style w:type="character" w:customStyle="1" w:styleId="21">
    <w:name w:val="star3"/>
    <w:basedOn w:val="10"/>
    <w:qFormat/>
    <w:uiPriority w:val="99"/>
    <w:rPr>
      <w:rFonts w:cs="Times New Roman"/>
    </w:rPr>
  </w:style>
  <w:style w:type="character" w:customStyle="1" w:styleId="22">
    <w:name w:val="star0"/>
    <w:basedOn w:val="10"/>
    <w:qFormat/>
    <w:uiPriority w:val="99"/>
    <w:rPr>
      <w:rFonts w:cs="Times New Roman"/>
    </w:rPr>
  </w:style>
  <w:style w:type="character" w:customStyle="1" w:styleId="23">
    <w:name w:val="star01"/>
    <w:basedOn w:val="10"/>
    <w:qFormat/>
    <w:uiPriority w:val="99"/>
    <w:rPr>
      <w:rFonts w:cs="Times New Roman"/>
    </w:rPr>
  </w:style>
  <w:style w:type="character" w:customStyle="1" w:styleId="24">
    <w:name w:val="star1"/>
    <w:basedOn w:val="10"/>
    <w:qFormat/>
    <w:uiPriority w:val="99"/>
    <w:rPr>
      <w:rFonts w:cs="Times New Roman"/>
    </w:rPr>
  </w:style>
  <w:style w:type="character" w:customStyle="1" w:styleId="25">
    <w:name w:val="star11"/>
    <w:basedOn w:val="10"/>
    <w:qFormat/>
    <w:uiPriority w:val="99"/>
    <w:rPr>
      <w:rFonts w:cs="Times New Roman"/>
    </w:rPr>
  </w:style>
  <w:style w:type="character" w:customStyle="1" w:styleId="26">
    <w:name w:val="star4"/>
    <w:basedOn w:val="10"/>
    <w:qFormat/>
    <w:uiPriority w:val="99"/>
    <w:rPr>
      <w:rFonts w:cs="Times New Roman"/>
    </w:rPr>
  </w:style>
  <w:style w:type="character" w:customStyle="1" w:styleId="27">
    <w:name w:val="star41"/>
    <w:basedOn w:val="10"/>
    <w:qFormat/>
    <w:uiPriority w:val="99"/>
    <w:rPr>
      <w:rFonts w:cs="Times New Roman"/>
    </w:rPr>
  </w:style>
  <w:style w:type="character" w:customStyle="1" w:styleId="28">
    <w:name w:val="star5"/>
    <w:basedOn w:val="10"/>
    <w:qFormat/>
    <w:uiPriority w:val="99"/>
    <w:rPr>
      <w:rFonts w:cs="Times New Roman"/>
    </w:rPr>
  </w:style>
  <w:style w:type="character" w:customStyle="1" w:styleId="29">
    <w:name w:val="star51"/>
    <w:basedOn w:val="10"/>
    <w:qFormat/>
    <w:uiPriority w:val="99"/>
    <w:rPr>
      <w:rFonts w:cs="Times New Roman"/>
    </w:rPr>
  </w:style>
  <w:style w:type="character" w:customStyle="1" w:styleId="30">
    <w:name w:val="star31"/>
    <w:basedOn w:val="10"/>
    <w:qFormat/>
    <w:uiPriority w:val="99"/>
    <w:rPr>
      <w:rFonts w:cs="Times New Roman"/>
    </w:rPr>
  </w:style>
  <w:style w:type="paragraph" w:customStyle="1" w:styleId="31">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2">
    <w:name w:val="正文文本缩进 Char"/>
    <w:basedOn w:val="10"/>
    <w:link w:val="4"/>
    <w:qFormat/>
    <w:uiPriority w:val="99"/>
    <w:rPr>
      <w:rFonts w:ascii="Calibri" w:hAnsi="Calibri" w:cs="Times New Roman"/>
      <w:sz w:val="24"/>
      <w:szCs w:val="24"/>
    </w:rPr>
  </w:style>
  <w:style w:type="character" w:customStyle="1" w:styleId="33">
    <w:name w:val="页眉 Char"/>
    <w:basedOn w:val="10"/>
    <w:link w:val="6"/>
    <w:qFormat/>
    <w:uiPriority w:val="0"/>
    <w:rPr>
      <w:rFonts w:ascii="Calibri" w:hAnsi="Calibri"/>
      <w:kern w:val="2"/>
      <w:sz w:val="18"/>
      <w:szCs w:val="18"/>
    </w:rPr>
  </w:style>
  <w:style w:type="character" w:customStyle="1" w:styleId="34">
    <w:name w:val="页脚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687</Words>
  <Characters>3922</Characters>
  <Lines>32</Lines>
  <Paragraphs>9</Paragraphs>
  <TotalTime>54</TotalTime>
  <ScaleCrop>false</ScaleCrop>
  <LinksUpToDate>false</LinksUpToDate>
  <CharactersWithSpaces>4600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2019-03-20T07:23:00Z</dcterms:created>
  <dc:creator>Administrator</dc:creator>
  <cp:lastModifiedBy>闽南风康良舒</cp:lastModifiedBy>
  <dcterms:modified xsi:type="dcterms:W3CDTF">2019-05-23T09:57:18Z</dcterms:modified>
  <dc:title>2018年开年巨献---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