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DD9C3" w:themeColor="background2" w:themeShade="E6"/>
  <w:body>
    <w:p>
      <w:pPr>
        <w:spacing w:line="240" w:lineRule="auto"/>
        <w:ind w:firstLine="420" w:firstLineChars="50"/>
        <w:jc w:val="cente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sectPr>
          <w:pgSz w:w="11907" w:h="16840"/>
          <w:pgMar w:top="159" w:right="747" w:bottom="312" w:left="539" w:header="156" w:footer="0" w:gutter="0"/>
          <w:pgBorders>
            <w:top w:val="none" w:sz="0" w:space="0"/>
            <w:left w:val="none" w:sz="0" w:space="0"/>
            <w:bottom w:val="none" w:sz="0" w:space="0"/>
            <w:right w:val="none" w:sz="0" w:space="0"/>
          </w:pgBorders>
          <w:cols w:space="720" w:num="1"/>
          <w:docGrid w:type="lines" w:linePitch="312" w:charSpace="0"/>
        </w:sectPr>
      </w:pPr>
      <w: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drawing>
          <wp:anchor distT="0" distB="0" distL="114300" distR="114300" simplePos="0" relativeHeight="251715584" behindDoc="1" locked="0" layoutInCell="1" allowOverlap="1">
            <wp:simplePos x="0" y="0"/>
            <wp:positionH relativeFrom="column">
              <wp:posOffset>-328295</wp:posOffset>
            </wp:positionH>
            <wp:positionV relativeFrom="paragraph">
              <wp:posOffset>-92710</wp:posOffset>
            </wp:positionV>
            <wp:extent cx="7562215" cy="10689590"/>
            <wp:effectExtent l="0" t="0" r="0" b="0"/>
            <wp:wrapTight wrapText="bothSides">
              <wp:wrapPolygon>
                <wp:start x="0" y="0"/>
                <wp:lineTo x="0" y="21556"/>
                <wp:lineTo x="21547" y="21556"/>
                <wp:lineTo x="21547" y="0"/>
                <wp:lineTo x="0" y="0"/>
              </wp:wrapPolygon>
            </wp:wrapTight>
            <wp:docPr id="6" name="图片 6" descr="微信图片_2019101714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1017140225"/>
                    <pic:cNvPicPr>
                      <a:picLocks noChangeAspect="1"/>
                    </pic:cNvPicPr>
                  </pic:nvPicPr>
                  <pic:blipFill>
                    <a:blip r:embed="rId4"/>
                    <a:stretch>
                      <a:fillRect/>
                    </a:stretch>
                  </pic:blipFill>
                  <pic:spPr>
                    <a:xfrm>
                      <a:off x="0" y="0"/>
                      <a:ext cx="7562215" cy="10689590"/>
                    </a:xfrm>
                    <a:prstGeom prst="rect">
                      <a:avLst/>
                    </a:prstGeom>
                  </pic:spPr>
                </pic:pic>
              </a:graphicData>
            </a:graphic>
          </wp:anchor>
        </w:drawing>
      </w:r>
    </w:p>
    <w:p>
      <w:pPr>
        <w:spacing w:line="240" w:lineRule="auto"/>
        <w:ind w:firstLine="420" w:firstLineChars="50"/>
        <w:jc w:val="center"/>
        <w:rPr>
          <w:rFonts w:hint="eastAsia" w:ascii="方正大黑简体" w:hAnsi="方正大黑简体" w:eastAsia="方正大黑简体" w:cs="方正大黑简体"/>
          <w:b w:val="0"/>
          <w:bCs w:val="0"/>
          <w:color w:val="953735" w:themeColor="accent2" w:themeShade="BF"/>
          <w:sz w:val="84"/>
          <w:szCs w:val="84"/>
          <w:shd w:val="clear" w:color="auto" w:fill="auto"/>
          <w:lang w:eastAsia="zh-CN"/>
        </w:rPr>
      </w:pPr>
    </w:p>
    <w:p>
      <w:pPr>
        <w:spacing w:line="240" w:lineRule="auto"/>
        <w:ind w:firstLine="3600" w:firstLineChars="500"/>
        <w:jc w:val="both"/>
        <w:rPr>
          <w:rFonts w:hint="eastAsia" w:ascii="方正大黑简体" w:hAnsi="方正大黑简体" w:eastAsia="方正大黑简体" w:cs="方正大黑简体"/>
          <w:b w:val="0"/>
          <w:bCs w:val="0"/>
          <w:color w:val="auto"/>
          <w:sz w:val="84"/>
          <w:szCs w:val="84"/>
          <w:shd w:val="clear" w:color="auto" w:fill="auto"/>
          <w:lang w:eastAsia="zh-CN"/>
        </w:rPr>
      </w:pPr>
      <w:r>
        <w:rPr>
          <w:rFonts w:hint="eastAsia" w:ascii="方正大黑简体" w:hAnsi="方正大黑简体" w:eastAsia="方正大黑简体" w:cs="方正大黑简体"/>
          <w:b w:val="0"/>
          <w:bCs w:val="0"/>
          <w:color w:val="auto"/>
          <w:sz w:val="72"/>
          <w:szCs w:val="72"/>
          <w:shd w:val="clear" w:color="auto" w:fill="auto"/>
          <w:lang w:eastAsia="zh-CN"/>
        </w:rPr>
        <w:t>五星鹭岛</w:t>
      </w:r>
    </w:p>
    <w:p>
      <w:pPr>
        <w:spacing w:line="240" w:lineRule="auto"/>
        <w:ind w:firstLine="141" w:firstLineChars="50"/>
        <w:jc w:val="center"/>
        <w:rPr>
          <w:rFonts w:hint="eastAsia" w:ascii="宋体" w:hAnsi="宋体" w:cs="宋体"/>
          <w:b/>
          <w:bCs/>
          <w:color w:val="auto"/>
          <w:sz w:val="28"/>
          <w:szCs w:val="28"/>
          <w:shd w:val="clear" w:color="auto" w:fill="auto"/>
        </w:rPr>
      </w:pPr>
      <w:r>
        <w:rPr>
          <w:rFonts w:hint="eastAsia" w:ascii="宋体" w:hAnsi="宋体" w:cs="宋体"/>
          <w:b/>
          <w:bCs/>
          <w:color w:val="auto"/>
          <w:sz w:val="28"/>
          <w:szCs w:val="28"/>
          <w:shd w:val="clear" w:color="auto" w:fill="auto"/>
        </w:rPr>
        <w:t>厦门</w:t>
      </w:r>
      <w:r>
        <w:rPr>
          <w:rFonts w:hint="eastAsia" w:ascii="宋体" w:hAnsi="宋体" w:cs="宋体"/>
          <w:b/>
          <w:bCs/>
          <w:color w:val="auto"/>
          <w:sz w:val="28"/>
          <w:szCs w:val="28"/>
          <w:shd w:val="clear" w:color="auto" w:fill="auto"/>
          <w:lang w:val="en-US" w:eastAsia="zh-CN"/>
        </w:rPr>
        <w:t>/</w:t>
      </w:r>
      <w:r>
        <w:rPr>
          <w:rFonts w:hint="eastAsia" w:ascii="宋体" w:hAnsi="宋体" w:cs="宋体"/>
          <w:b/>
          <w:bCs/>
          <w:color w:val="auto"/>
          <w:sz w:val="28"/>
          <w:szCs w:val="28"/>
          <w:shd w:val="clear" w:color="auto" w:fill="auto"/>
        </w:rPr>
        <w:t>鼓浪屿</w:t>
      </w:r>
      <w:r>
        <w:rPr>
          <w:rFonts w:hint="eastAsia" w:ascii="宋体" w:hAnsi="宋体" w:cs="宋体"/>
          <w:b/>
          <w:bCs/>
          <w:color w:val="auto"/>
          <w:sz w:val="28"/>
          <w:szCs w:val="28"/>
          <w:shd w:val="clear" w:color="auto" w:fill="auto"/>
          <w:lang w:val="en-US" w:eastAsia="zh-CN"/>
        </w:rPr>
        <w:t>/夜游土楼/</w:t>
      </w:r>
      <w:r>
        <w:rPr>
          <w:rFonts w:hint="eastAsia" w:ascii="宋体" w:hAnsi="宋体" w:cs="宋体"/>
          <w:b/>
          <w:bCs/>
          <w:color w:val="auto"/>
          <w:sz w:val="28"/>
          <w:szCs w:val="28"/>
          <w:shd w:val="clear" w:color="auto" w:fill="auto"/>
        </w:rPr>
        <w:t>高北土楼</w:t>
      </w:r>
      <w:r>
        <w:rPr>
          <w:rFonts w:hint="eastAsia" w:ascii="宋体" w:hAnsi="宋体" w:cs="宋体"/>
          <w:b/>
          <w:bCs/>
          <w:color w:val="auto"/>
          <w:sz w:val="28"/>
          <w:szCs w:val="28"/>
          <w:shd w:val="clear" w:color="auto" w:fill="auto"/>
          <w:lang w:val="en-US" w:eastAsia="zh-CN"/>
        </w:rPr>
        <w:t>/</w:t>
      </w:r>
      <w:r>
        <w:rPr>
          <w:rFonts w:hint="eastAsia" w:ascii="宋体" w:hAnsi="宋体" w:cs="宋体"/>
          <w:b/>
          <w:bCs/>
          <w:color w:val="auto"/>
          <w:sz w:val="28"/>
          <w:szCs w:val="28"/>
          <w:shd w:val="clear" w:color="auto" w:fill="auto"/>
        </w:rPr>
        <w:t>闽南传奇秀</w:t>
      </w:r>
      <w:r>
        <w:rPr>
          <w:rFonts w:hint="eastAsia" w:ascii="宋体" w:hAnsi="宋体" w:cs="宋体"/>
          <w:b/>
          <w:bCs/>
          <w:color w:val="auto"/>
          <w:sz w:val="28"/>
          <w:szCs w:val="28"/>
          <w:shd w:val="clear" w:color="auto" w:fill="auto"/>
          <w:lang w:val="en-US" w:eastAsia="zh-CN"/>
        </w:rPr>
        <w:t>/</w:t>
      </w:r>
      <w:r>
        <w:rPr>
          <w:rFonts w:hint="eastAsia" w:ascii="宋体" w:hAnsi="宋体" w:cs="宋体"/>
          <w:b/>
          <w:bCs/>
          <w:color w:val="auto"/>
          <w:sz w:val="28"/>
          <w:szCs w:val="28"/>
          <w:shd w:val="clear" w:color="auto" w:fill="auto"/>
          <w:lang w:eastAsia="zh-CN"/>
        </w:rPr>
        <w:t>双飞</w:t>
      </w:r>
      <w:r>
        <w:rPr>
          <w:rFonts w:hint="eastAsia" w:ascii="宋体" w:hAnsi="宋体" w:cs="宋体"/>
          <w:b/>
          <w:bCs/>
          <w:color w:val="auto"/>
          <w:sz w:val="28"/>
          <w:szCs w:val="28"/>
          <w:shd w:val="clear" w:color="auto" w:fill="auto"/>
        </w:rPr>
        <w:t>五日游</w:t>
      </w:r>
    </w:p>
    <w:p>
      <w:pPr>
        <w:spacing w:line="240" w:lineRule="auto"/>
        <w:ind w:firstLine="141" w:firstLineChars="50"/>
        <w:jc w:val="center"/>
        <w:rPr>
          <w:rFonts w:hint="eastAsia" w:ascii="宋体" w:hAnsi="宋体" w:cs="宋体"/>
          <w:b/>
          <w:bCs/>
          <w:color w:val="FFFFFF"/>
          <w:sz w:val="28"/>
          <w:szCs w:val="28"/>
          <w:shd w:val="clear" w:color="auto" w:fill="auto"/>
        </w:rPr>
      </w:pPr>
    </w:p>
    <w:p>
      <w:pPr>
        <w:spacing w:line="240" w:lineRule="auto"/>
        <w:ind w:firstLine="141" w:firstLineChars="50"/>
        <w:jc w:val="left"/>
        <w:rPr>
          <w:rFonts w:hint="eastAsia" w:ascii="宋体" w:hAnsi="宋体" w:cs="宋体"/>
          <w:b/>
          <w:bCs/>
          <w:color w:val="FF0000"/>
          <w:sz w:val="28"/>
          <w:szCs w:val="28"/>
          <w:shd w:val="clear" w:color="auto" w:fill="auto"/>
          <w:lang w:val="en-US" w:eastAsia="zh-CN"/>
        </w:rPr>
      </w:pPr>
      <w:r>
        <w:rPr>
          <w:rFonts w:hint="eastAsia" w:ascii="宋体" w:hAnsi="宋体" w:cs="宋体"/>
          <w:b/>
          <w:bCs/>
          <w:color w:val="FF0000"/>
          <w:sz w:val="28"/>
          <w:szCs w:val="28"/>
          <w:shd w:val="clear" w:color="auto" w:fill="auto"/>
          <w:lang w:eastAsia="zh-CN"/>
        </w:rPr>
        <w:t>酒店参考：</w:t>
      </w:r>
      <w:r>
        <w:rPr>
          <w:rFonts w:hint="eastAsia" w:ascii="宋体" w:hAnsi="宋体" w:cs="宋体"/>
          <w:b/>
          <w:bCs/>
          <w:color w:val="FF0000"/>
          <w:sz w:val="28"/>
          <w:szCs w:val="28"/>
          <w:shd w:val="clear" w:color="auto" w:fill="auto"/>
          <w:lang w:val="en-US" w:eastAsia="zh-CN"/>
        </w:rPr>
        <w:t>3晚灵玲马戏主题酒店或同级酒店</w:t>
      </w:r>
    </w:p>
    <w:p>
      <w:pPr>
        <w:spacing w:line="240" w:lineRule="auto"/>
        <w:ind w:firstLine="141" w:firstLineChars="50"/>
        <w:jc w:val="left"/>
        <w:rPr>
          <w:rFonts w:hint="eastAsia" w:ascii="宋体" w:hAnsi="宋体" w:cs="宋体"/>
          <w:b/>
          <w:bCs/>
          <w:color w:val="FFFFFF"/>
          <w:sz w:val="28"/>
          <w:szCs w:val="28"/>
          <w:shd w:val="clear" w:color="auto" w:fill="auto"/>
          <w:lang w:val="en-US" w:eastAsia="zh-CN"/>
        </w:rPr>
      </w:pPr>
      <w:r>
        <w:rPr>
          <w:rFonts w:hint="eastAsia" w:ascii="宋体" w:hAnsi="宋体" w:cs="宋体"/>
          <w:b/>
          <w:bCs/>
          <w:color w:val="FFFF00"/>
          <w:sz w:val="28"/>
          <w:szCs w:val="28"/>
          <w:shd w:val="clear" w:color="auto" w:fill="auto"/>
          <w:lang w:val="en-US" w:eastAsia="zh-CN"/>
        </w:rPr>
        <w:drawing>
          <wp:anchor distT="0" distB="0" distL="114300" distR="114300" simplePos="0" relativeHeight="251714560" behindDoc="1" locked="0" layoutInCell="1" allowOverlap="1">
            <wp:simplePos x="0" y="0"/>
            <wp:positionH relativeFrom="column">
              <wp:posOffset>-69850</wp:posOffset>
            </wp:positionH>
            <wp:positionV relativeFrom="paragraph">
              <wp:posOffset>287020</wp:posOffset>
            </wp:positionV>
            <wp:extent cx="6961505" cy="6948170"/>
            <wp:effectExtent l="0" t="0" r="10795" b="5080"/>
            <wp:wrapTight wrapText="bothSides">
              <wp:wrapPolygon>
                <wp:start x="0" y="0"/>
                <wp:lineTo x="0" y="21557"/>
                <wp:lineTo x="21515" y="21557"/>
                <wp:lineTo x="21515" y="0"/>
                <wp:lineTo x="0" y="0"/>
              </wp:wrapPolygon>
            </wp:wrapTight>
            <wp:docPr id="2" name="图片 4" descr="G:\产品线路\#国内#\#疆土#\#鹭岛：厦门#\图片\资料\灵玲马戏酒店.jpg灵玲马戏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G:\产品线路\#国内#\#疆土#\#鹭岛：厦门#\图片\资料\灵玲马戏酒店.jpg灵玲马戏酒店"/>
                    <pic:cNvPicPr>
                      <a:picLocks noChangeAspect="1"/>
                    </pic:cNvPicPr>
                  </pic:nvPicPr>
                  <pic:blipFill>
                    <a:blip r:embed="rId5"/>
                    <a:stretch>
                      <a:fillRect/>
                    </a:stretch>
                  </pic:blipFill>
                  <pic:spPr>
                    <a:xfrm>
                      <a:off x="0" y="0"/>
                      <a:ext cx="6961505" cy="6948170"/>
                    </a:xfrm>
                    <a:prstGeom prst="rect">
                      <a:avLst/>
                    </a:prstGeom>
                    <a:noFill/>
                    <a:ln>
                      <a:noFill/>
                    </a:ln>
                  </pic:spPr>
                </pic:pic>
              </a:graphicData>
            </a:graphic>
          </wp:anchor>
        </w:drawing>
      </w:r>
    </w:p>
    <w:p>
      <w:pPr>
        <w:spacing w:line="240" w:lineRule="auto"/>
        <w:ind w:firstLine="141" w:firstLineChars="50"/>
        <w:jc w:val="left"/>
        <w:rPr>
          <w:rFonts w:hint="eastAsia" w:ascii="宋体" w:hAnsi="宋体" w:cs="宋体"/>
          <w:b/>
          <w:bCs/>
          <w:color w:val="FFFFFF"/>
          <w:sz w:val="28"/>
          <w:szCs w:val="28"/>
          <w:shd w:val="clear" w:color="auto" w:fill="auto"/>
          <w:lang w:val="en-US" w:eastAsia="zh-CN"/>
        </w:rPr>
        <w:sectPr>
          <w:pgSz w:w="11907" w:h="16840"/>
          <w:pgMar w:top="159" w:right="747" w:bottom="312" w:left="539" w:header="156" w:footer="0" w:gutter="0"/>
          <w:pgBorders>
            <w:top w:val="none" w:sz="0" w:space="0"/>
            <w:left w:val="none" w:sz="0" w:space="0"/>
            <w:bottom w:val="none" w:sz="0" w:space="0"/>
            <w:right w:val="none" w:sz="0" w:space="0"/>
          </w:pgBorders>
          <w:cols w:space="720" w:num="1"/>
          <w:docGrid w:type="lines" w:linePitch="312" w:charSpace="0"/>
        </w:sectPr>
      </w:pPr>
    </w:p>
    <w:p>
      <w:pPr>
        <w:spacing w:line="240" w:lineRule="auto"/>
        <w:ind w:firstLine="141" w:firstLineChars="50"/>
        <w:jc w:val="left"/>
        <w:rPr>
          <w:rFonts w:hint="eastAsia" w:ascii="宋体" w:hAnsi="宋体" w:cs="宋体"/>
          <w:b/>
          <w:bCs/>
          <w:color w:val="FFFFFF"/>
          <w:sz w:val="28"/>
          <w:szCs w:val="28"/>
          <w:shd w:val="clear" w:color="auto" w:fill="auto"/>
          <w:lang w:val="en-US" w:eastAsia="zh-CN"/>
        </w:rPr>
        <w:sectPr>
          <w:pgSz w:w="11907" w:h="16840"/>
          <w:pgMar w:top="159" w:right="747" w:bottom="312" w:left="539" w:header="156" w:footer="0" w:gutter="0"/>
          <w:pgBorders>
            <w:top w:val="none" w:sz="0" w:space="0"/>
            <w:left w:val="none" w:sz="0" w:space="0"/>
            <w:bottom w:val="none" w:sz="0" w:space="0"/>
            <w:right w:val="none" w:sz="0" w:space="0"/>
          </w:pgBorders>
          <w:cols w:space="720" w:num="1"/>
          <w:docGrid w:type="lines" w:linePitch="312" w:charSpace="0"/>
        </w:sectPr>
      </w:pPr>
      <w:bookmarkStart w:id="0" w:name="_GoBack"/>
      <w:r>
        <w:rPr>
          <w:rFonts w:hint="eastAsia" w:ascii="宋体" w:hAnsi="宋体" w:cs="宋体"/>
          <w:b/>
          <w:bCs/>
          <w:color w:val="FFFFFF"/>
          <w:sz w:val="28"/>
          <w:szCs w:val="28"/>
          <w:shd w:val="clear" w:color="auto" w:fill="auto"/>
          <w:lang w:val="en-US" w:eastAsia="zh-CN"/>
        </w:rPr>
        <w:drawing>
          <wp:anchor distT="0" distB="0" distL="114300" distR="114300" simplePos="0" relativeHeight="251716608" behindDoc="1" locked="0" layoutInCell="1" allowOverlap="1">
            <wp:simplePos x="0" y="0"/>
            <wp:positionH relativeFrom="column">
              <wp:posOffset>-355600</wp:posOffset>
            </wp:positionH>
            <wp:positionV relativeFrom="paragraph">
              <wp:posOffset>-92710</wp:posOffset>
            </wp:positionV>
            <wp:extent cx="7567930" cy="10697845"/>
            <wp:effectExtent l="0" t="0" r="0" b="0"/>
            <wp:wrapTight wrapText="bothSides">
              <wp:wrapPolygon>
                <wp:start x="0" y="0"/>
                <wp:lineTo x="0" y="21578"/>
                <wp:lineTo x="21531" y="21578"/>
                <wp:lineTo x="21531" y="0"/>
                <wp:lineTo x="0" y="0"/>
              </wp:wrapPolygon>
            </wp:wrapTight>
            <wp:docPr id="7" name="图片 7" descr="微信图片_2019101713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1017135451"/>
                    <pic:cNvPicPr>
                      <a:picLocks noChangeAspect="1"/>
                    </pic:cNvPicPr>
                  </pic:nvPicPr>
                  <pic:blipFill>
                    <a:blip r:embed="rId6"/>
                    <a:stretch>
                      <a:fillRect/>
                    </a:stretch>
                  </pic:blipFill>
                  <pic:spPr>
                    <a:xfrm>
                      <a:off x="0" y="0"/>
                      <a:ext cx="7567930" cy="10697845"/>
                    </a:xfrm>
                    <a:prstGeom prst="rect">
                      <a:avLst/>
                    </a:prstGeom>
                  </pic:spPr>
                </pic:pic>
              </a:graphicData>
            </a:graphic>
          </wp:anchor>
        </w:drawing>
      </w:r>
      <w:bookmarkEnd w:id="0"/>
    </w:p>
    <w:tbl>
      <w:tblPr>
        <w:tblStyle w:val="6"/>
        <w:tblpPr w:leftFromText="180" w:rightFromText="180" w:vertAnchor="text" w:horzAnchor="page" w:tblpXSpec="center" w:tblpY="221"/>
        <w:tblOverlap w:val="never"/>
        <w:tblW w:w="10740" w:type="dxa"/>
        <w:jc w:val="center"/>
        <w:tblInd w:w="0" w:type="dxa"/>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
      <w:tblGrid>
        <w:gridCol w:w="675"/>
        <w:gridCol w:w="8364"/>
        <w:gridCol w:w="850"/>
        <w:gridCol w:w="851"/>
      </w:tblGrid>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1226" w:hRule="exact"/>
          <w:jc w:val="center"/>
        </w:trPr>
        <w:tc>
          <w:tcPr>
            <w:tcW w:w="10740" w:type="dxa"/>
            <w:gridSpan w:val="4"/>
            <w:tcBorders>
              <w:tl2br w:val="nil"/>
              <w:tr2bl w:val="nil"/>
            </w:tcBorders>
            <w:vAlign w:val="center"/>
          </w:tcPr>
          <w:p>
            <w:pPr>
              <w:keepNext w:val="0"/>
              <w:keepLines w:val="0"/>
              <w:pageBreakBefore w:val="0"/>
              <w:widowControl/>
              <w:shd w:val="clear" w:color="auto"/>
              <w:kinsoku/>
              <w:wordWrap/>
              <w:overflowPunct/>
              <w:topLinePunct w:val="0"/>
              <w:autoSpaceDE/>
              <w:autoSpaceDN/>
              <w:bidi w:val="0"/>
              <w:adjustRightInd/>
              <w:snapToGrid/>
              <w:spacing w:line="480" w:lineRule="exact"/>
              <w:ind w:left="2209" w:hanging="2209" w:hangingChars="500"/>
              <w:jc w:val="center"/>
              <w:textAlignment w:val="auto"/>
              <w:outlineLvl w:val="4"/>
              <w:rPr>
                <w:rFonts w:hint="eastAsia" w:cs="Tahoma" w:asciiTheme="minorEastAsia" w:hAnsiTheme="minorEastAsia" w:eastAsiaTheme="minorEastAsia"/>
                <w:sz w:val="44"/>
                <w:szCs w:val="44"/>
                <w:lang w:val="en-US" w:eastAsia="zh-CN"/>
              </w:rPr>
            </w:pPr>
            <w:r>
              <w:rPr>
                <w:rFonts w:hint="eastAsia" w:cs="Tahoma" w:asciiTheme="minorEastAsia" w:hAnsiTheme="minorEastAsia" w:eastAsiaTheme="minorEastAsia"/>
                <w:sz w:val="44"/>
                <w:szCs w:val="44"/>
                <w:lang w:val="en-US" w:eastAsia="zh-CN"/>
              </w:rPr>
              <w:t>五星鹭岛</w:t>
            </w:r>
          </w:p>
          <w:p>
            <w:pPr>
              <w:keepNext w:val="0"/>
              <w:keepLines w:val="0"/>
              <w:pageBreakBefore w:val="0"/>
              <w:widowControl/>
              <w:shd w:val="clear" w:color="auto"/>
              <w:kinsoku/>
              <w:wordWrap/>
              <w:overflowPunct/>
              <w:topLinePunct w:val="0"/>
              <w:autoSpaceDE/>
              <w:autoSpaceDN/>
              <w:bidi w:val="0"/>
              <w:adjustRightInd/>
              <w:snapToGrid/>
              <w:spacing w:line="480" w:lineRule="exact"/>
              <w:jc w:val="center"/>
              <w:textAlignment w:val="auto"/>
              <w:outlineLvl w:val="4"/>
              <w:rPr>
                <w:rFonts w:cs="Tahoma" w:asciiTheme="minorEastAsia" w:hAnsiTheme="minorEastAsia" w:eastAsiaTheme="minorEastAsia"/>
                <w:color w:val="E46C0A" w:themeColor="accent6" w:themeShade="BF"/>
                <w:szCs w:val="28"/>
              </w:rPr>
            </w:pPr>
            <w:r>
              <w:rPr>
                <w:rFonts w:hint="eastAsia" w:cs="Tahoma" w:asciiTheme="minorEastAsia" w:hAnsiTheme="minorEastAsia" w:eastAsiaTheme="minorEastAsia"/>
                <w:color w:val="953735" w:themeColor="accent2" w:themeShade="BF"/>
                <w:sz w:val="36"/>
                <w:szCs w:val="36"/>
              </w:rPr>
              <w:t>厦门</w:t>
            </w:r>
            <w:r>
              <w:rPr>
                <w:rFonts w:hint="eastAsia" w:cs="Tahoma" w:asciiTheme="minorEastAsia" w:hAnsiTheme="minorEastAsia" w:eastAsiaTheme="minorEastAsia"/>
                <w:color w:val="953735" w:themeColor="accent2" w:themeShade="BF"/>
                <w:sz w:val="36"/>
                <w:szCs w:val="36"/>
                <w:lang w:val="en-US" w:eastAsia="zh-CN"/>
              </w:rPr>
              <w:t>/</w:t>
            </w:r>
            <w:r>
              <w:rPr>
                <w:rFonts w:hint="eastAsia" w:cs="Tahoma" w:asciiTheme="minorEastAsia" w:hAnsiTheme="minorEastAsia" w:eastAsiaTheme="minorEastAsia"/>
                <w:color w:val="953735" w:themeColor="accent2" w:themeShade="BF"/>
                <w:sz w:val="36"/>
                <w:szCs w:val="36"/>
              </w:rPr>
              <w:t>鼓浪屿</w:t>
            </w:r>
            <w:r>
              <w:rPr>
                <w:rFonts w:hint="eastAsia" w:cs="Tahoma" w:asciiTheme="minorEastAsia" w:hAnsiTheme="minorEastAsia" w:eastAsiaTheme="minorEastAsia"/>
                <w:color w:val="953735" w:themeColor="accent2" w:themeShade="BF"/>
                <w:sz w:val="36"/>
                <w:szCs w:val="36"/>
                <w:lang w:val="en-US" w:eastAsia="zh-CN"/>
              </w:rPr>
              <w:t>/夜游</w:t>
            </w:r>
            <w:r>
              <w:rPr>
                <w:rFonts w:hint="eastAsia" w:cs="Tahoma" w:asciiTheme="minorEastAsia" w:hAnsiTheme="minorEastAsia" w:eastAsiaTheme="minorEastAsia"/>
                <w:color w:val="953735" w:themeColor="accent2" w:themeShade="BF"/>
                <w:sz w:val="36"/>
                <w:szCs w:val="36"/>
              </w:rPr>
              <w:t>高北土楼</w:t>
            </w:r>
            <w:r>
              <w:rPr>
                <w:rFonts w:hint="eastAsia" w:cs="Tahoma" w:asciiTheme="minorEastAsia" w:hAnsiTheme="minorEastAsia" w:eastAsiaTheme="minorEastAsia"/>
                <w:color w:val="953735" w:themeColor="accent2" w:themeShade="BF"/>
                <w:sz w:val="36"/>
                <w:szCs w:val="36"/>
                <w:lang w:val="en-US" w:eastAsia="zh-CN"/>
              </w:rPr>
              <w:t>/</w:t>
            </w:r>
            <w:r>
              <w:rPr>
                <w:rFonts w:hint="eastAsia" w:cs="Tahoma" w:asciiTheme="minorEastAsia" w:hAnsiTheme="minorEastAsia" w:eastAsiaTheme="minorEastAsia"/>
                <w:color w:val="953735" w:themeColor="accent2" w:themeShade="BF"/>
                <w:sz w:val="36"/>
                <w:szCs w:val="36"/>
              </w:rPr>
              <w:t>闽南传奇秀</w:t>
            </w:r>
            <w:r>
              <w:rPr>
                <w:rFonts w:hint="eastAsia" w:cs="Tahoma" w:asciiTheme="minorEastAsia" w:hAnsiTheme="minorEastAsia" w:eastAsiaTheme="minorEastAsia"/>
                <w:color w:val="953735" w:themeColor="accent2" w:themeShade="BF"/>
                <w:sz w:val="36"/>
                <w:szCs w:val="36"/>
                <w:lang w:val="en-US" w:eastAsia="zh-CN"/>
              </w:rPr>
              <w:t>/</w:t>
            </w:r>
            <w:r>
              <w:rPr>
                <w:rFonts w:hint="eastAsia" w:cs="Tahoma" w:asciiTheme="minorEastAsia" w:hAnsiTheme="minorEastAsia" w:eastAsiaTheme="minorEastAsia"/>
                <w:color w:val="953735" w:themeColor="accent2" w:themeShade="BF"/>
                <w:sz w:val="36"/>
                <w:szCs w:val="36"/>
                <w:lang w:eastAsia="zh-CN"/>
              </w:rPr>
              <w:t>双飞</w:t>
            </w:r>
            <w:r>
              <w:rPr>
                <w:rFonts w:hint="eastAsia" w:cs="Tahoma" w:asciiTheme="minorEastAsia" w:hAnsiTheme="minorEastAsia" w:eastAsiaTheme="minorEastAsia"/>
                <w:color w:val="953735" w:themeColor="accent2" w:themeShade="BF"/>
                <w:sz w:val="36"/>
                <w:szCs w:val="36"/>
              </w:rPr>
              <w:t>五日游</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194" w:hRule="atLeast"/>
          <w:jc w:val="center"/>
        </w:trPr>
        <w:tc>
          <w:tcPr>
            <w:tcW w:w="9039" w:type="dxa"/>
            <w:gridSpan w:val="2"/>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val="0"/>
                <w:sz w:val="24"/>
                <w:lang w:val="en-US" w:eastAsia="zh-CN"/>
              </w:rPr>
              <w:t xml:space="preserve">     </w:t>
            </w:r>
            <w:r>
              <w:rPr>
                <w:rFonts w:cs="Tahoma" w:asciiTheme="minorEastAsia" w:hAnsiTheme="minorEastAsia" w:eastAsiaTheme="minorEastAsia"/>
                <w:b/>
                <w:bCs w:val="0"/>
                <w:sz w:val="24"/>
              </w:rPr>
              <w:t>行程安排</w:t>
            </w:r>
          </w:p>
        </w:tc>
        <w:tc>
          <w:tcPr>
            <w:tcW w:w="850"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用餐</w:t>
            </w:r>
          </w:p>
        </w:tc>
        <w:tc>
          <w:tcPr>
            <w:tcW w:w="851" w:type="dxa"/>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cs="Tahoma" w:asciiTheme="minorEastAsia" w:hAnsiTheme="minorEastAsia" w:eastAsiaTheme="minorEastAsia"/>
                <w:b w:val="0"/>
                <w:sz w:val="24"/>
              </w:rPr>
              <w:t>住宿</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454" w:hRule="exact"/>
          <w:jc w:val="center"/>
        </w:trPr>
        <w:tc>
          <w:tcPr>
            <w:tcW w:w="675" w:type="dxa"/>
            <w:vMerge w:val="restart"/>
            <w:tcBorders>
              <w:tl2br w:val="nil"/>
              <w:tr2bl w:val="nil"/>
            </w:tcBorders>
            <w:shd w:val="clear" w:color="auto" w:fill="auto"/>
          </w:tcPr>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D1</w:t>
            </w:r>
          </w:p>
        </w:tc>
        <w:tc>
          <w:tcPr>
            <w:tcW w:w="8364" w:type="dxa"/>
            <w:tcBorders>
              <w:tl2br w:val="nil"/>
              <w:tr2bl w:val="nil"/>
            </w:tcBorders>
            <w:shd w:val="clear" w:color="auto" w:fill="auto"/>
          </w:tcPr>
          <w:p>
            <w:pPr>
              <w:widowControl/>
              <w:shd w:val="clear"/>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昆明——</w:t>
            </w:r>
            <w:r>
              <w:rPr>
                <w:rFonts w:cs="Tahoma" w:asciiTheme="minorEastAsia" w:hAnsiTheme="minorEastAsia" w:eastAsiaTheme="minorEastAsia"/>
                <w:sz w:val="21"/>
                <w:szCs w:val="21"/>
              </w:rPr>
              <w:t>厦门</w:t>
            </w:r>
            <w:r>
              <w:rPr>
                <w:rFonts w:hint="eastAsia" w:cs="Tahoma" w:asciiTheme="minorEastAsia" w:hAnsiTheme="minorEastAsia" w:eastAsiaTheme="minorEastAsia"/>
                <w:sz w:val="21"/>
                <w:szCs w:val="21"/>
                <w:lang w:eastAsia="zh-CN"/>
              </w:rPr>
              <w:t>或泉州</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val="0"/>
                <w:sz w:val="24"/>
              </w:rPr>
              <w:t xml:space="preserve"> </w:t>
            </w:r>
            <w:r>
              <w:rPr>
                <w:rFonts w:hint="eastAsia" w:cs="Tahoma" w:asciiTheme="minorEastAsia" w:hAnsiTheme="minorEastAsia" w:eastAsiaTheme="minorEastAsia"/>
                <w:b/>
                <w:bCs w:val="0"/>
                <w:sz w:val="24"/>
                <w:lang w:val="en-US" w:eastAsia="zh-CN"/>
              </w:rPr>
              <w:t>/</w:t>
            </w:r>
          </w:p>
        </w:tc>
        <w:tc>
          <w:tcPr>
            <w:tcW w:w="851" w:type="dxa"/>
            <w:vMerge w:val="restart"/>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 w:val="24"/>
              </w:rPr>
            </w:pPr>
            <w:r>
              <w:rPr>
                <w:rFonts w:hint="eastAsia" w:cs="Tahoma" w:asciiTheme="minorEastAsia" w:hAnsiTheme="minorEastAsia" w:eastAsiaTheme="minorEastAsia"/>
                <w:b w:val="0"/>
                <w:sz w:val="24"/>
              </w:rPr>
              <w:t xml:space="preserve"> </w:t>
            </w:r>
          </w:p>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bCs w:val="0"/>
                <w:sz w:val="24"/>
                <w:lang w:eastAsia="zh-CN"/>
              </w:rPr>
              <w:t>厦门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color="auto"/>
              <w:spacing w:line="240" w:lineRule="atLeast"/>
              <w:jc w:val="left"/>
              <w:outlineLvl w:val="4"/>
              <w:rPr>
                <w:rFonts w:hint="eastAsia" w:cs="华文中宋" w:asciiTheme="minorEastAsia" w:hAnsiTheme="minorEastAsia" w:eastAsiaTheme="minorEastAsia"/>
                <w:b w:val="0"/>
                <w:sz w:val="18"/>
                <w:szCs w:val="18"/>
                <w:lang w:val="en-US" w:eastAsia="zh-CN"/>
              </w:rPr>
            </w:pPr>
            <w:r>
              <w:rPr>
                <w:rFonts w:hint="eastAsia" w:cs="华文中宋" w:asciiTheme="minorEastAsia" w:hAnsiTheme="minorEastAsia" w:eastAsiaTheme="minorEastAsia"/>
                <w:b w:val="0"/>
                <w:sz w:val="18"/>
                <w:szCs w:val="18"/>
                <w:lang w:val="en-US" w:eastAsia="en-US"/>
              </w:rPr>
              <w:t>当天客人乘航班</w:t>
            </w:r>
            <w:r>
              <w:rPr>
                <w:rFonts w:hint="eastAsia" w:cs="华文中宋" w:asciiTheme="minorEastAsia" w:hAnsiTheme="minorEastAsia" w:eastAsiaTheme="minorEastAsia"/>
                <w:b w:val="0"/>
                <w:sz w:val="18"/>
                <w:szCs w:val="18"/>
                <w:lang w:val="en-US" w:eastAsia="zh-CN"/>
              </w:rPr>
              <w:t>前往晋江/厦门，</w:t>
            </w:r>
            <w:r>
              <w:rPr>
                <w:rFonts w:hint="eastAsia" w:cs="华文中宋" w:asciiTheme="minorEastAsia" w:hAnsiTheme="minorEastAsia" w:eastAsiaTheme="minorEastAsia"/>
                <w:b w:val="0"/>
                <w:sz w:val="18"/>
                <w:szCs w:val="18"/>
                <w:lang w:val="en-US" w:eastAsia="en-US"/>
              </w:rPr>
              <w:t>专业导游接机，抵达海上花园城市厦门，车送</w:t>
            </w:r>
            <w:r>
              <w:rPr>
                <w:rFonts w:hint="eastAsia" w:cs="华文中宋" w:asciiTheme="minorEastAsia" w:hAnsiTheme="minorEastAsia" w:eastAsiaTheme="minorEastAsia"/>
                <w:b w:val="0"/>
                <w:sz w:val="18"/>
                <w:szCs w:val="18"/>
                <w:lang w:val="en-US" w:eastAsia="zh-CN"/>
              </w:rPr>
              <w:t>酒店入住</w:t>
            </w:r>
            <w:r>
              <w:rPr>
                <w:rFonts w:hint="eastAsia" w:cs="华文中宋" w:asciiTheme="minorEastAsia" w:hAnsiTheme="minorEastAsia" w:eastAsiaTheme="minorEastAsia"/>
                <w:b w:val="0"/>
                <w:sz w:val="18"/>
                <w:szCs w:val="18"/>
                <w:lang w:val="en-US" w:eastAsia="en-US"/>
              </w:rPr>
              <w:t>休息。晚上客人可自由安排</w:t>
            </w:r>
            <w:r>
              <w:rPr>
                <w:rFonts w:hint="eastAsia" w:cs="华文中宋" w:asciiTheme="minorEastAsia" w:hAnsiTheme="minorEastAsia" w:eastAsiaTheme="minorEastAsia"/>
                <w:b w:val="0"/>
                <w:sz w:val="18"/>
                <w:szCs w:val="18"/>
                <w:lang w:val="en-US" w:eastAsia="zh-CN"/>
              </w:rPr>
              <w:t>。</w:t>
            </w:r>
          </w:p>
          <w:p>
            <w:pPr>
              <w:widowControl/>
              <w:shd w:val="clear" w:color="auto"/>
              <w:spacing w:line="240" w:lineRule="atLeast"/>
              <w:jc w:val="left"/>
              <w:outlineLvl w:val="4"/>
              <w:rPr>
                <w:rFonts w:cs="宋体" w:asciiTheme="minorEastAsia" w:hAnsiTheme="minorEastAsia" w:eastAsiaTheme="minorEastAsia"/>
                <w:sz w:val="18"/>
                <w:szCs w:val="18"/>
              </w:rPr>
            </w:pPr>
            <w:r>
              <w:rPr>
                <w:rFonts w:hint="eastAsia" w:cs="华文中宋" w:asciiTheme="minorEastAsia" w:hAnsiTheme="minorEastAsia" w:eastAsiaTheme="minorEastAsia"/>
                <w:b w:val="0"/>
                <w:sz w:val="18"/>
                <w:szCs w:val="18"/>
                <w:lang w:val="en-US" w:eastAsia="en-US"/>
              </w:rPr>
              <w:t>推荐地点：【中山路步行街】厦门最老牌的商业街，代表了厦门的繁华。建筑都是骑楼，有浓郁的南洋风情，粉红和乳白是主色调，斑驳的墙体与古旧的木窗更为骑楼增添了几分特有的神韵，别有一番风味。</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420" w:hRule="exact"/>
          <w:jc w:val="center"/>
        </w:trPr>
        <w:tc>
          <w:tcPr>
            <w:tcW w:w="675"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b w:val="0"/>
                <w:sz w:val="18"/>
                <w:szCs w:val="18"/>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sz w:val="21"/>
                <w:szCs w:val="21"/>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D2</w:t>
            </w: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cs="Tahoma" w:asciiTheme="minorEastAsia" w:hAnsiTheme="minorEastAsia" w:eastAsiaTheme="minorEastAsia"/>
                <w:sz w:val="21"/>
                <w:szCs w:val="21"/>
              </w:rPr>
              <w:t>厦门</w:t>
            </w:r>
            <w:r>
              <w:rPr>
                <w:rFonts w:hint="eastAsia" w:cs="Tahoma" w:asciiTheme="minorEastAsia" w:hAnsiTheme="minorEastAsia" w:eastAsiaTheme="minorEastAsia"/>
                <w:sz w:val="21"/>
                <w:szCs w:val="21"/>
              </w:rPr>
              <w:t xml:space="preserve">南普陀 </w:t>
            </w:r>
            <w:r>
              <w:rPr>
                <w:rFonts w:hint="eastAsia" w:cs="Tahoma" w:asciiTheme="minorEastAsia" w:hAnsiTheme="minorEastAsia" w:eastAsiaTheme="minorEastAsia"/>
                <w:sz w:val="21"/>
                <w:szCs w:val="21"/>
                <w:lang w:eastAsia="zh-CN"/>
              </w:rPr>
              <w:t>、高北土楼</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宋体"/>
                <w:b/>
                <w:szCs w:val="21"/>
                <w:lang w:eastAsia="zh-CN"/>
              </w:rPr>
              <w:t>天子温泉</w:t>
            </w:r>
            <w:r>
              <w:rPr>
                <w:rFonts w:hint="eastAsia" w:ascii="宋体" w:hAnsi="宋体" w:cs="宋体"/>
                <w:b/>
                <w:szCs w:val="21"/>
              </w:rPr>
              <w:t>酒店</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7082"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right="0" w:rightChars="0"/>
              <w:jc w:val="both"/>
              <w:textAlignment w:val="auto"/>
              <w:outlineLvl w:val="9"/>
              <w:rPr>
                <w:rFonts w:hint="eastAsia" w:cs="华文中宋" w:asciiTheme="minorEastAsia" w:hAnsiTheme="minorEastAsia" w:eastAsiaTheme="minorEastAsia"/>
                <w:b w:val="0"/>
                <w:sz w:val="18"/>
                <w:szCs w:val="18"/>
                <w:lang w:val="en-US" w:eastAsia="en-US"/>
              </w:rPr>
            </w:pPr>
            <w:r>
              <w:rPr>
                <w:rFonts w:hint="eastAsia" w:cs="华文中宋" w:asciiTheme="minorEastAsia" w:hAnsiTheme="minorEastAsia" w:eastAsiaTheme="minorEastAsia"/>
                <w:b w:val="0"/>
                <w:sz w:val="18"/>
                <w:szCs w:val="18"/>
                <w:lang w:val="en-US" w:eastAsia="en-US"/>
              </w:rPr>
              <w:t>早餐后游“千年古刹”、闽南最著名寺院、闽南佛学院所在地</w:t>
            </w:r>
            <w:r>
              <w:rPr>
                <w:rFonts w:hint="eastAsia" w:cs="华文中宋" w:asciiTheme="minorEastAsia" w:hAnsiTheme="minorEastAsia" w:eastAsiaTheme="minorEastAsia"/>
                <w:b/>
                <w:bCs/>
                <w:color w:val="0070C0"/>
                <w:sz w:val="18"/>
                <w:szCs w:val="18"/>
                <w:lang w:val="en-US" w:eastAsia="en-US"/>
              </w:rPr>
              <w:t>【南普陀寺】</w:t>
            </w:r>
            <w:r>
              <w:rPr>
                <w:rFonts w:hint="eastAsia" w:cs="华文中宋" w:asciiTheme="minorEastAsia" w:hAnsiTheme="minorEastAsia" w:eastAsiaTheme="minorEastAsia"/>
                <w:b w:val="0"/>
                <w:sz w:val="18"/>
                <w:szCs w:val="18"/>
                <w:lang w:val="en-US" w:eastAsia="en-US"/>
              </w:rPr>
              <w:t>，参观天王殿、大雄宝殿、大悲殿等。沿途外观全国最美校园之一的</w:t>
            </w:r>
            <w:r>
              <w:rPr>
                <w:rFonts w:hint="eastAsia" w:cs="华文中宋" w:asciiTheme="minorEastAsia" w:hAnsiTheme="minorEastAsia" w:eastAsiaTheme="minorEastAsia"/>
                <w:b/>
                <w:bCs/>
                <w:color w:val="0070C0"/>
                <w:sz w:val="18"/>
                <w:szCs w:val="18"/>
                <w:lang w:val="en-US" w:eastAsia="en-US"/>
              </w:rPr>
              <w:t>【厦门大学】外景</w:t>
            </w:r>
            <w:r>
              <w:rPr>
                <w:rFonts w:hint="eastAsia" w:cs="华文中宋" w:asciiTheme="minorEastAsia" w:hAnsiTheme="minorEastAsia" w:eastAsiaTheme="minorEastAsia"/>
                <w:b w:val="0"/>
                <w:sz w:val="18"/>
                <w:szCs w:val="18"/>
                <w:lang w:val="en-US" w:eastAsia="en-US"/>
              </w:rPr>
              <w:t>。乘车游览</w:t>
            </w:r>
            <w:r>
              <w:rPr>
                <w:rFonts w:hint="eastAsia" w:cs="华文中宋" w:asciiTheme="minorEastAsia" w:hAnsiTheme="minorEastAsia" w:eastAsiaTheme="minorEastAsia"/>
                <w:b/>
                <w:bCs/>
                <w:color w:val="0070C0"/>
                <w:sz w:val="18"/>
                <w:szCs w:val="18"/>
                <w:lang w:val="en-US" w:eastAsia="en-US"/>
              </w:rPr>
              <w:t>【高北土楼】</w:t>
            </w:r>
            <w:r>
              <w:rPr>
                <w:rFonts w:hint="eastAsia" w:cs="华文中宋" w:asciiTheme="minorEastAsia" w:hAnsiTheme="minorEastAsia" w:eastAsiaTheme="minorEastAsia"/>
                <w:b w:val="0"/>
                <w:sz w:val="18"/>
                <w:szCs w:val="18"/>
                <w:lang w:val="en-US" w:eastAsia="en-US"/>
              </w:rPr>
              <w:t>（游览时间约3H）高北土楼群——位于永定县高头乡高北村。全村几十座土楼，依山傍水，高低错落。建于明代的无石基的五云楼诉说着土楼悠久的历史，雅致的侨福楼展示了旅居海。外拳拳赤子爱国爱乡的诚挚情怀。村内的“圆楼之王”</w:t>
            </w:r>
            <w:r>
              <w:rPr>
                <w:rFonts w:hint="eastAsia" w:cs="华文中宋" w:asciiTheme="minorEastAsia" w:hAnsiTheme="minorEastAsia" w:eastAsiaTheme="minorEastAsia"/>
                <w:b/>
                <w:bCs/>
                <w:color w:val="0070C0"/>
                <w:sz w:val="18"/>
                <w:szCs w:val="18"/>
                <w:lang w:val="en-US" w:eastAsia="en-US"/>
              </w:rPr>
              <w:t>【承启楼】</w:t>
            </w:r>
            <w:r>
              <w:rPr>
                <w:rFonts w:hint="eastAsia" w:cs="华文中宋" w:asciiTheme="minorEastAsia" w:hAnsiTheme="minorEastAsia" w:eastAsiaTheme="minorEastAsia"/>
                <w:b w:val="0"/>
                <w:sz w:val="18"/>
                <w:szCs w:val="18"/>
                <w:lang w:val="en-US" w:eastAsia="en-US"/>
              </w:rPr>
              <w:t>是最著名的土楼。2008年7月在加拿大魁北克举行的第32届世界遗产委员会大会上，“福建土楼”被列入《世界遗产名录》。承启楼，是高头江姓第十五世祖江集成（1635－1719）所建，花了三年时间，于清康熙四十七年（1708）建成。这三年间，在建楼夯墙时，天公作美，都是理想的好天气，为感谢老天帮忙，当地人又把它叫做“天助楼”。当时永定知县曾九寿（清康熙四十六年至五十年任永定知县）偕同教谕李世茂、训导吴霏参观承启楼，都敬佩江集成的气魄和业绩，曾九寿书赠“邦家之光”金字匾额给他。此匾至今尚保存完好。</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right="0" w:rightChars="0"/>
              <w:jc w:val="both"/>
              <w:textAlignment w:val="auto"/>
              <w:outlineLvl w:val="9"/>
              <w:rPr>
                <w:rFonts w:hint="eastAsia" w:ascii="微软雅黑" w:hAnsi="微软雅黑" w:eastAsia="微软雅黑" w:cs="微软雅黑"/>
                <w:b w:val="0"/>
                <w:bCs w:val="0"/>
                <w:i w:val="0"/>
                <w:caps w:val="0"/>
                <w:color w:val="992B9B"/>
                <w:spacing w:val="0"/>
                <w:sz w:val="18"/>
                <w:szCs w:val="18"/>
                <w:shd w:val="clear" w:color="auto" w:fill="FFFFFF"/>
                <w:lang w:val="en-US" w:eastAsia="zh-CN"/>
              </w:rPr>
            </w:pPr>
            <w:r>
              <w:rPr>
                <w:rFonts w:hint="eastAsia" w:ascii="宋体" w:hAnsi="宋体" w:cs="宋体"/>
                <w:b/>
                <w:bCs/>
                <w:color w:val="FFFF00"/>
                <w:sz w:val="28"/>
                <w:szCs w:val="28"/>
                <w:shd w:val="clear" w:color="auto" w:fill="auto"/>
                <w:lang w:val="en-US" w:eastAsia="zh-CN"/>
              </w:rPr>
              <w:drawing>
                <wp:anchor distT="0" distB="0" distL="114300" distR="114300" simplePos="0" relativeHeight="251688960" behindDoc="1" locked="0" layoutInCell="1" allowOverlap="1">
                  <wp:simplePos x="0" y="0"/>
                  <wp:positionH relativeFrom="column">
                    <wp:posOffset>2656205</wp:posOffset>
                  </wp:positionH>
                  <wp:positionV relativeFrom="paragraph">
                    <wp:posOffset>433070</wp:posOffset>
                  </wp:positionV>
                  <wp:extent cx="2436495" cy="1580515"/>
                  <wp:effectExtent l="0" t="0" r="1905" b="635"/>
                  <wp:wrapTight wrapText="bothSides">
                    <wp:wrapPolygon>
                      <wp:start x="0" y="0"/>
                      <wp:lineTo x="0" y="21348"/>
                      <wp:lineTo x="21448" y="21348"/>
                      <wp:lineTo x="21448" y="0"/>
                      <wp:lineTo x="0" y="0"/>
                    </wp:wrapPolygon>
                  </wp:wrapTight>
                  <wp:docPr id="23" name="图片 17" descr="a62b8153077c680120878b1ad2431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a62b8153077c680120878b1ad2431c9"/>
                          <pic:cNvPicPr>
                            <a:picLocks noChangeAspect="1"/>
                          </pic:cNvPicPr>
                        </pic:nvPicPr>
                        <pic:blipFill>
                          <a:blip r:embed="rId7"/>
                          <a:stretch>
                            <a:fillRect/>
                          </a:stretch>
                        </pic:blipFill>
                        <pic:spPr>
                          <a:xfrm>
                            <a:off x="0" y="0"/>
                            <a:ext cx="2436495" cy="1580515"/>
                          </a:xfrm>
                          <a:prstGeom prst="rect">
                            <a:avLst/>
                          </a:prstGeom>
                          <a:noFill/>
                          <a:ln>
                            <a:noFill/>
                          </a:ln>
                        </pic:spPr>
                      </pic:pic>
                    </a:graphicData>
                  </a:graphic>
                </wp:anchor>
              </w:drawing>
            </w:r>
            <w:r>
              <w:rPr>
                <w:rFonts w:hint="eastAsia" w:ascii="宋体" w:hAnsi="宋体" w:cs="宋体"/>
                <w:b/>
                <w:bCs/>
                <w:color w:val="FF0000"/>
                <w:kern w:val="0"/>
                <w:szCs w:val="21"/>
              </w:rPr>
              <w:drawing>
                <wp:anchor distT="0" distB="0" distL="114300" distR="114300" simplePos="0" relativeHeight="251667456" behindDoc="1" locked="0" layoutInCell="1" allowOverlap="1">
                  <wp:simplePos x="0" y="0"/>
                  <wp:positionH relativeFrom="column">
                    <wp:posOffset>-9525</wp:posOffset>
                  </wp:positionH>
                  <wp:positionV relativeFrom="paragraph">
                    <wp:posOffset>433070</wp:posOffset>
                  </wp:positionV>
                  <wp:extent cx="2548890" cy="1579880"/>
                  <wp:effectExtent l="0" t="0" r="3810" b="1270"/>
                  <wp:wrapTight wrapText="bothSides">
                    <wp:wrapPolygon>
                      <wp:start x="0" y="0"/>
                      <wp:lineTo x="0" y="21357"/>
                      <wp:lineTo x="21471" y="21357"/>
                      <wp:lineTo x="21471" y="0"/>
                      <wp:lineTo x="0" y="0"/>
                    </wp:wrapPolygon>
                  </wp:wrapTight>
                  <wp:docPr id="22" name="图片 16" descr="高北土楼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高北土楼5"/>
                          <pic:cNvPicPr>
                            <a:picLocks noChangeAspect="1"/>
                          </pic:cNvPicPr>
                        </pic:nvPicPr>
                        <pic:blipFill>
                          <a:blip r:embed="rId8"/>
                          <a:srcRect l="4240" t="5751" r="5113" b="7013"/>
                          <a:stretch>
                            <a:fillRect/>
                          </a:stretch>
                        </pic:blipFill>
                        <pic:spPr>
                          <a:xfrm>
                            <a:off x="0" y="0"/>
                            <a:ext cx="2548890" cy="1579880"/>
                          </a:xfrm>
                          <a:prstGeom prst="rect">
                            <a:avLst/>
                          </a:prstGeom>
                          <a:noFill/>
                          <a:ln>
                            <a:noFill/>
                          </a:ln>
                        </pic:spPr>
                      </pic:pic>
                    </a:graphicData>
                  </a:graphic>
                </wp:anchor>
              </w:drawing>
            </w:r>
            <w:r>
              <w:rPr>
                <w:rFonts w:hint="eastAsia" w:cs="华文中宋" w:asciiTheme="minorEastAsia" w:hAnsiTheme="minorEastAsia" w:eastAsiaTheme="minorEastAsia"/>
                <w:b w:val="0"/>
                <w:color w:val="C00000"/>
                <w:sz w:val="18"/>
                <w:szCs w:val="18"/>
                <w:lang w:val="en-US" w:eastAsia="en-US"/>
              </w:rPr>
              <w:t xml:space="preserve">晚上赠送土楼特色BBQ烧烤狂欢，啤酒无限畅饮，奢享土楼夜景！ </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1223" w:hRule="exact"/>
          <w:jc w:val="center"/>
        </w:trPr>
        <w:tc>
          <w:tcPr>
            <w:tcW w:w="675" w:type="dxa"/>
            <w:vMerge w:val="restart"/>
            <w:tcBorders>
              <w:tl2br w:val="nil"/>
              <w:tr2bl w:val="nil"/>
            </w:tcBorders>
            <w:vAlign w:val="center"/>
          </w:tcPr>
          <w:p>
            <w:pPr>
              <w:widowControl/>
              <w:shd w:val="clear" w:color="auto"/>
              <w:spacing w:line="240" w:lineRule="atLeast"/>
              <w:jc w:val="both"/>
              <w:outlineLvl w:val="4"/>
              <w:rPr>
                <w:rFonts w:cs="Tahoma" w:asciiTheme="minorEastAsia" w:hAnsiTheme="minorEastAsia" w:eastAsiaTheme="minorEastAsia"/>
                <w:b w:val="0"/>
                <w:sz w:val="18"/>
                <w:szCs w:val="18"/>
              </w:rPr>
            </w:pPr>
            <w:r>
              <w:rPr>
                <w:rFonts w:cs="Tahoma" w:asciiTheme="minorEastAsia" w:hAnsiTheme="minorEastAsia" w:eastAsiaTheme="minorEastAsia"/>
                <w:sz w:val="21"/>
                <w:szCs w:val="21"/>
              </w:rPr>
              <w:t>D3</w:t>
            </w:r>
          </w:p>
        </w:tc>
        <w:tc>
          <w:tcPr>
            <w:tcW w:w="8364" w:type="dxa"/>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厦门鼓浪屿</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w:t>
            </w:r>
          </w:p>
          <w:p>
            <w:pPr>
              <w:widowControl/>
              <w:shd w:val="clear" w:color="auto"/>
              <w:spacing w:line="240" w:lineRule="atLeast"/>
              <w:jc w:val="center"/>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val="0"/>
                <w:sz w:val="24"/>
                <w:lang w:eastAsia="zh-CN"/>
              </w:rPr>
            </w:pPr>
            <w:r>
              <w:rPr>
                <w:rFonts w:hint="eastAsia" w:cs="Tahoma" w:asciiTheme="minorEastAsia" w:hAnsiTheme="minorEastAsia" w:eastAsiaTheme="minorEastAsia"/>
                <w:b/>
                <w:bCs w:val="0"/>
                <w:sz w:val="24"/>
                <w:lang w:eastAsia="zh-CN"/>
              </w:rPr>
              <w:t>厦门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4589"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leftChars="0" w:right="0" w:rightChars="0"/>
              <w:jc w:val="both"/>
              <w:textAlignment w:val="auto"/>
              <w:outlineLvl w:val="9"/>
              <w:rPr>
                <w:rFonts w:hint="eastAsia" w:asciiTheme="minorEastAsia" w:hAnsiTheme="minorEastAsia" w:eastAsiaTheme="minorEastAsia"/>
                <w:b w:val="0"/>
                <w:bCs w:val="0"/>
                <w:sz w:val="18"/>
                <w:szCs w:val="18"/>
              </w:rPr>
            </w:pPr>
            <w:r>
              <w:rPr>
                <w:rFonts w:hint="eastAsia" w:asciiTheme="minorEastAsia" w:hAnsiTheme="minorEastAsia" w:eastAsiaTheme="minorEastAsia"/>
                <w:b w:val="0"/>
                <w:bCs w:val="0"/>
                <w:sz w:val="18"/>
                <w:szCs w:val="18"/>
              </w:rPr>
              <w:t>酒店早餐后，乘车返回厦门，前往“万国建筑博物馆”之称的</w:t>
            </w:r>
            <w:r>
              <w:rPr>
                <w:rFonts w:hint="eastAsia" w:cs="华文中宋" w:asciiTheme="minorEastAsia" w:hAnsiTheme="minorEastAsia" w:eastAsiaTheme="minorEastAsia"/>
                <w:b/>
                <w:bCs/>
                <w:color w:val="0070C0"/>
                <w:sz w:val="18"/>
                <w:szCs w:val="18"/>
                <w:lang w:val="en-US" w:eastAsia="en-US"/>
              </w:rPr>
              <w:t>【鼓浪屿】</w:t>
            </w:r>
            <w:r>
              <w:rPr>
                <w:rFonts w:hint="eastAsia" w:asciiTheme="minorEastAsia" w:hAnsiTheme="minorEastAsia" w:eastAsiaTheme="minorEastAsia"/>
                <w:b w:val="0"/>
                <w:bCs w:val="0"/>
                <w:sz w:val="18"/>
                <w:szCs w:val="18"/>
              </w:rPr>
              <w:t>，途经过英国领事馆</w:t>
            </w:r>
            <w:r>
              <w:rPr>
                <w:rFonts w:hint="eastAsia" w:asciiTheme="minorEastAsia" w:hAnsiTheme="minorEastAsia" w:eastAsiaTheme="minorEastAsia"/>
                <w:b w:val="0"/>
                <w:bCs w:val="0"/>
                <w:sz w:val="18"/>
                <w:szCs w:val="18"/>
                <w:lang w:eastAsia="zh-CN"/>
              </w:rPr>
              <w:t>、</w:t>
            </w:r>
            <w:r>
              <w:rPr>
                <w:rFonts w:hint="eastAsia" w:asciiTheme="minorEastAsia" w:hAnsiTheme="minorEastAsia" w:eastAsiaTheme="minorEastAsia"/>
                <w:b w:val="0"/>
                <w:bCs w:val="0"/>
                <w:sz w:val="18"/>
                <w:szCs w:val="18"/>
              </w:rPr>
              <w:t>日本领事馆</w:t>
            </w:r>
            <w:r>
              <w:rPr>
                <w:rFonts w:hint="eastAsia" w:asciiTheme="minorEastAsia" w:hAnsiTheme="minorEastAsia" w:eastAsiaTheme="minorEastAsia"/>
                <w:b w:val="0"/>
                <w:bCs w:val="0"/>
                <w:sz w:val="18"/>
                <w:szCs w:val="18"/>
                <w:lang w:eastAsia="zh-CN"/>
              </w:rPr>
              <w:t>、</w:t>
            </w:r>
            <w:r>
              <w:rPr>
                <w:rFonts w:hint="eastAsia" w:asciiTheme="minorEastAsia" w:hAnsiTheme="minorEastAsia" w:eastAsiaTheme="minorEastAsia"/>
                <w:b w:val="0"/>
                <w:bCs w:val="0"/>
                <w:sz w:val="18"/>
                <w:szCs w:val="18"/>
              </w:rPr>
              <w:t>西班牙领事馆</w:t>
            </w:r>
            <w:r>
              <w:rPr>
                <w:rFonts w:hint="eastAsia" w:asciiTheme="minorEastAsia" w:hAnsiTheme="minorEastAsia" w:eastAsiaTheme="minorEastAsia"/>
                <w:b w:val="0"/>
                <w:bCs w:val="0"/>
                <w:sz w:val="18"/>
                <w:szCs w:val="18"/>
                <w:lang w:eastAsia="zh-CN"/>
              </w:rPr>
              <w:t>、</w:t>
            </w:r>
            <w:r>
              <w:rPr>
                <w:rFonts w:hint="eastAsia" w:asciiTheme="minorEastAsia" w:hAnsiTheme="minorEastAsia" w:eastAsiaTheme="minorEastAsia"/>
                <w:b w:val="0"/>
                <w:bCs w:val="0"/>
                <w:sz w:val="18"/>
                <w:szCs w:val="18"/>
              </w:rPr>
              <w:t>天主教堂</w:t>
            </w:r>
            <w:r>
              <w:rPr>
                <w:rFonts w:hint="eastAsia" w:asciiTheme="minorEastAsia" w:hAnsiTheme="minorEastAsia" w:eastAsiaTheme="minorEastAsia"/>
                <w:b w:val="0"/>
                <w:bCs w:val="0"/>
                <w:sz w:val="18"/>
                <w:szCs w:val="18"/>
                <w:lang w:eastAsia="zh-CN"/>
              </w:rPr>
              <w:t>、</w:t>
            </w:r>
            <w:r>
              <w:rPr>
                <w:rFonts w:hint="eastAsia" w:asciiTheme="minorEastAsia" w:hAnsiTheme="minorEastAsia" w:eastAsiaTheme="minorEastAsia"/>
                <w:b w:val="0"/>
                <w:bCs w:val="0"/>
                <w:sz w:val="18"/>
                <w:szCs w:val="18"/>
              </w:rPr>
              <w:t>协和礼拜堂</w:t>
            </w:r>
            <w:r>
              <w:rPr>
                <w:rFonts w:hint="eastAsia" w:asciiTheme="minorEastAsia" w:hAnsiTheme="minorEastAsia" w:eastAsiaTheme="minorEastAsia"/>
                <w:b w:val="0"/>
                <w:bCs w:val="0"/>
                <w:sz w:val="18"/>
                <w:szCs w:val="18"/>
                <w:lang w:eastAsia="zh-CN"/>
              </w:rPr>
              <w:t>等建筑</w:t>
            </w:r>
            <w:r>
              <w:rPr>
                <w:rFonts w:hint="eastAsia" w:asciiTheme="minorEastAsia" w:hAnsiTheme="minorEastAsia" w:eastAsiaTheme="minorEastAsia"/>
                <w:b w:val="0"/>
                <w:bCs w:val="0"/>
                <w:sz w:val="18"/>
                <w:szCs w:val="18"/>
              </w:rPr>
              <w:t>，感受鼓浪屿百年沧桑，体验浪漫音乐海岛风情；穿梭风情万种老房子，博览万国建筑，享受大海、沙滩、阳光浴的无限乐趣-自由漫步-</w:t>
            </w:r>
            <w:r>
              <w:rPr>
                <w:rFonts w:hint="eastAsia" w:cs="华文中宋" w:asciiTheme="minorEastAsia" w:hAnsiTheme="minorEastAsia" w:eastAsiaTheme="minorEastAsia"/>
                <w:b/>
                <w:bCs/>
                <w:color w:val="0070C0"/>
                <w:sz w:val="18"/>
                <w:szCs w:val="18"/>
                <w:lang w:val="en-US" w:eastAsia="en-US"/>
              </w:rPr>
              <w:t>【港仔后海滨】</w:t>
            </w:r>
            <w:r>
              <w:rPr>
                <w:rFonts w:hint="eastAsia" w:asciiTheme="minorEastAsia" w:hAnsiTheme="minorEastAsia" w:eastAsiaTheme="minorEastAsia"/>
                <w:b w:val="0"/>
                <w:bCs w:val="0"/>
                <w:sz w:val="18"/>
                <w:szCs w:val="18"/>
              </w:rPr>
              <w:t>（请注意：上鼓浪屿岛的时间以船务公司确认的票务时间为准，到时行程可能会前后调整），游南洋风情的别墅群，</w:t>
            </w:r>
            <w:r>
              <w:rPr>
                <w:rFonts w:hint="eastAsia" w:asciiTheme="minorEastAsia" w:hAnsiTheme="minorEastAsia" w:eastAsiaTheme="minorEastAsia"/>
                <w:b w:val="0"/>
                <w:bCs w:val="0"/>
                <w:sz w:val="18"/>
                <w:szCs w:val="18"/>
                <w:lang w:eastAsia="zh-CN"/>
              </w:rPr>
              <w:t>走人气</w:t>
            </w:r>
            <w:r>
              <w:rPr>
                <w:rFonts w:hint="eastAsia" w:asciiTheme="minorEastAsia" w:hAnsiTheme="minorEastAsia" w:eastAsiaTheme="minorEastAsia"/>
                <w:b w:val="0"/>
                <w:bCs w:val="0"/>
                <w:sz w:val="18"/>
                <w:szCs w:val="18"/>
              </w:rPr>
              <w:t>龙头路一条街。晚餐后前往白鹭洲观看</w:t>
            </w:r>
            <w:r>
              <w:rPr>
                <w:rFonts w:hint="eastAsia" w:cs="华文中宋" w:asciiTheme="minorEastAsia" w:hAnsiTheme="minorEastAsia" w:eastAsiaTheme="minorEastAsia"/>
                <w:b/>
                <w:bCs/>
                <w:color w:val="0070C0"/>
                <w:sz w:val="18"/>
                <w:szCs w:val="18"/>
                <w:lang w:val="en-US" w:eastAsia="en-US"/>
              </w:rPr>
              <w:t>海滩灯光秀</w:t>
            </w:r>
            <w:r>
              <w:rPr>
                <w:rFonts w:hint="eastAsia" w:asciiTheme="minorEastAsia" w:hAnsiTheme="minorEastAsia" w:eastAsiaTheme="minorEastAsia"/>
                <w:b w:val="0"/>
                <w:bCs w:val="0"/>
                <w:sz w:val="18"/>
                <w:szCs w:val="18"/>
              </w:rPr>
              <w:t>。</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84" w:lineRule="atLeast"/>
              <w:ind w:leftChars="0" w:right="0" w:rightChars="0"/>
              <w:jc w:val="both"/>
              <w:textAlignment w:val="auto"/>
              <w:outlineLvl w:val="9"/>
              <w:rPr>
                <w:rFonts w:hint="eastAsia" w:asciiTheme="minorEastAsia" w:hAnsiTheme="minorEastAsia" w:eastAsiaTheme="minorEastAsia"/>
                <w:b w:val="0"/>
                <w:bCs w:val="0"/>
                <w:sz w:val="18"/>
                <w:szCs w:val="18"/>
              </w:rPr>
            </w:pPr>
            <w:r>
              <w:rPr>
                <w:rFonts w:hint="eastAsia" w:ascii="宋体" w:hAnsi="宋体" w:cs="宋体"/>
                <w:szCs w:val="21"/>
              </w:rPr>
              <w:drawing>
                <wp:anchor distT="0" distB="0" distL="114300" distR="114300" simplePos="0" relativeHeight="251700224" behindDoc="1" locked="0" layoutInCell="1" allowOverlap="1">
                  <wp:simplePos x="0" y="0"/>
                  <wp:positionH relativeFrom="column">
                    <wp:posOffset>62865</wp:posOffset>
                  </wp:positionH>
                  <wp:positionV relativeFrom="paragraph">
                    <wp:posOffset>124460</wp:posOffset>
                  </wp:positionV>
                  <wp:extent cx="2457450" cy="1560830"/>
                  <wp:effectExtent l="0" t="0" r="0" b="0"/>
                  <wp:wrapTight wrapText="bothSides">
                    <wp:wrapPolygon>
                      <wp:start x="0" y="0"/>
                      <wp:lineTo x="0" y="21354"/>
                      <wp:lineTo x="21433" y="21354"/>
                      <wp:lineTo x="21433" y="0"/>
                      <wp:lineTo x="0" y="0"/>
                    </wp:wrapPolygon>
                  </wp:wrapTight>
                  <wp:docPr id="24" name="图片 18" descr="鼓浪屿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鼓浪屿3"/>
                          <pic:cNvPicPr>
                            <a:picLocks noChangeAspect="1"/>
                          </pic:cNvPicPr>
                        </pic:nvPicPr>
                        <pic:blipFill>
                          <a:blip r:embed="rId9"/>
                          <a:stretch>
                            <a:fillRect/>
                          </a:stretch>
                        </pic:blipFill>
                        <pic:spPr>
                          <a:xfrm>
                            <a:off x="0" y="0"/>
                            <a:ext cx="2457450" cy="1560830"/>
                          </a:xfrm>
                          <a:prstGeom prst="rect">
                            <a:avLst/>
                          </a:prstGeom>
                          <a:noFill/>
                          <a:ln>
                            <a:noFill/>
                          </a:ln>
                        </pic:spPr>
                      </pic:pic>
                    </a:graphicData>
                  </a:graphic>
                </wp:anchor>
              </w:drawing>
            </w:r>
            <w:r>
              <w:drawing>
                <wp:anchor distT="0" distB="0" distL="114300" distR="114300" simplePos="0" relativeHeight="251701248" behindDoc="0" locked="0" layoutInCell="1" allowOverlap="1">
                  <wp:simplePos x="0" y="0"/>
                  <wp:positionH relativeFrom="column">
                    <wp:posOffset>-20320</wp:posOffset>
                  </wp:positionH>
                  <wp:positionV relativeFrom="paragraph">
                    <wp:posOffset>136525</wp:posOffset>
                  </wp:positionV>
                  <wp:extent cx="2529840" cy="1547495"/>
                  <wp:effectExtent l="0" t="0" r="3810" b="14605"/>
                  <wp:wrapNone/>
                  <wp:docPr id="4" name="图片 4" descr="鼓浪屿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鼓浪屿8"/>
                          <pic:cNvPicPr>
                            <a:picLocks noChangeAspect="1"/>
                          </pic:cNvPicPr>
                        </pic:nvPicPr>
                        <pic:blipFill>
                          <a:blip r:embed="rId10"/>
                          <a:stretch>
                            <a:fillRect/>
                          </a:stretch>
                        </pic:blipFill>
                        <pic:spPr>
                          <a:xfrm>
                            <a:off x="0" y="0"/>
                            <a:ext cx="2529840" cy="1547495"/>
                          </a:xfrm>
                          <a:prstGeom prst="rect">
                            <a:avLst/>
                          </a:prstGeom>
                        </pic:spPr>
                      </pic:pic>
                    </a:graphicData>
                  </a:graphic>
                </wp:anchor>
              </w:drawing>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569" w:hRule="exact"/>
          <w:jc w:val="center"/>
        </w:trPr>
        <w:tc>
          <w:tcPr>
            <w:tcW w:w="675" w:type="dxa"/>
            <w:vMerge w:val="restart"/>
            <w:tcBorders>
              <w:tl2br w:val="nil"/>
              <w:tr2bl w:val="nil"/>
            </w:tcBorders>
            <w:vAlign w:val="center"/>
          </w:tcPr>
          <w:p>
            <w:pPr>
              <w:widowControl/>
              <w:shd w:val="clear" w:color="auto"/>
              <w:spacing w:line="240" w:lineRule="atLeast"/>
              <w:jc w:val="both"/>
              <w:outlineLvl w:val="4"/>
              <w:rPr>
                <w:rFonts w:hint="eastAsia" w:cs="Tahoma" w:asciiTheme="minorEastAsia" w:hAnsiTheme="minorEastAsia" w:eastAsiaTheme="minorEastAsia"/>
                <w:sz w:val="21"/>
                <w:szCs w:val="21"/>
                <w:lang w:val="en-US" w:eastAsia="zh-CN"/>
              </w:rPr>
            </w:pPr>
          </w:p>
          <w:p>
            <w:pPr>
              <w:widowControl/>
              <w:shd w:val="clear" w:color="auto"/>
              <w:spacing w:line="240" w:lineRule="atLeast"/>
              <w:jc w:val="both"/>
              <w:outlineLvl w:val="4"/>
              <w:rPr>
                <w:rFonts w:hint="eastAsia" w:cs="Tahoma" w:asciiTheme="minorEastAsia" w:hAnsiTheme="minorEastAsia" w:eastAsiaTheme="minorEastAsia"/>
                <w:sz w:val="21"/>
                <w:szCs w:val="21"/>
                <w:lang w:val="en-US" w:eastAsia="zh-CN"/>
              </w:rPr>
            </w:pPr>
          </w:p>
          <w:p>
            <w:pPr>
              <w:widowControl/>
              <w:shd w:val="clear" w:color="auto"/>
              <w:spacing w:line="240" w:lineRule="atLeast"/>
              <w:jc w:val="both"/>
              <w:outlineLvl w:val="4"/>
              <w:rPr>
                <w:rFonts w:hint="eastAsia" w:cs="Tahoma" w:asciiTheme="minorEastAsia" w:hAnsiTheme="minorEastAsia" w:eastAsiaTheme="minorEastAsia"/>
                <w:sz w:val="21"/>
                <w:szCs w:val="21"/>
                <w:lang w:val="en-US" w:eastAsia="zh-CN"/>
              </w:rPr>
            </w:pPr>
          </w:p>
          <w:p>
            <w:pPr>
              <w:widowControl/>
              <w:shd w:val="clear" w:color="auto"/>
              <w:spacing w:line="240" w:lineRule="atLeast"/>
              <w:jc w:val="both"/>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sz w:val="21"/>
                <w:szCs w:val="21"/>
                <w:lang w:val="en-US" w:eastAsia="zh-CN"/>
              </w:rPr>
              <w:t>D4</w:t>
            </w:r>
          </w:p>
          <w:p>
            <w:pPr>
              <w:widowControl/>
              <w:shd w:val="clear" w:color="auto"/>
              <w:spacing w:line="240" w:lineRule="atLeast"/>
              <w:jc w:val="center"/>
              <w:outlineLvl w:val="4"/>
              <w:rPr>
                <w:rFonts w:cs="Tahoma" w:asciiTheme="minorEastAsia" w:hAnsiTheme="minorEastAsia" w:eastAsiaTheme="minorEastAsia"/>
                <w:b w:val="0"/>
                <w:sz w:val="18"/>
                <w:szCs w:val="18"/>
              </w:rPr>
            </w:pPr>
          </w:p>
          <w:p>
            <w:pPr>
              <w:widowControl/>
              <w:shd w:val="clear" w:color="auto"/>
              <w:spacing w:line="240" w:lineRule="atLeast"/>
              <w:jc w:val="center"/>
              <w:outlineLvl w:val="4"/>
              <w:rPr>
                <w:rFonts w:cs="Tahoma" w:asciiTheme="minorEastAsia" w:hAnsiTheme="minorEastAsia" w:eastAsiaTheme="minorEastAsia"/>
                <w:b w:val="0"/>
                <w:sz w:val="18"/>
                <w:szCs w:val="18"/>
              </w:rPr>
            </w:pP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环岛路、曾厝垵、老院子闽南传奇秀</w:t>
            </w:r>
          </w:p>
        </w:tc>
        <w:tc>
          <w:tcPr>
            <w:tcW w:w="850" w:type="dxa"/>
            <w:vMerge w:val="restart"/>
            <w:tcBorders>
              <w:tl2br w:val="nil"/>
              <w:tr2bl w:val="nil"/>
            </w:tcBorders>
            <w:vAlign w:val="center"/>
          </w:tcPr>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早餐</w:t>
            </w:r>
          </w:p>
          <w:p>
            <w:pPr>
              <w:widowControl/>
              <w:shd w:val="clear" w:color="auto"/>
              <w:spacing w:line="240" w:lineRule="atLeast"/>
              <w:jc w:val="center"/>
              <w:outlineLvl w:val="4"/>
              <w:rPr>
                <w:rFonts w:hint="eastAsia" w:cs="Tahoma" w:asciiTheme="minorEastAsia" w:hAnsiTheme="minorEastAsia" w:eastAsiaTheme="minorEastAsia"/>
                <w:b/>
                <w:bCs w:val="0"/>
                <w:sz w:val="24"/>
              </w:rPr>
            </w:pPr>
            <w:r>
              <w:rPr>
                <w:rFonts w:hint="eastAsia" w:cs="Tahoma" w:asciiTheme="minorEastAsia" w:hAnsiTheme="minorEastAsia" w:eastAsiaTheme="minorEastAsia"/>
                <w:b/>
                <w:bCs w:val="0"/>
                <w:sz w:val="24"/>
              </w:rPr>
              <w:t>中餐</w:t>
            </w:r>
          </w:p>
          <w:p>
            <w:pPr>
              <w:widowControl/>
              <w:shd w:val="clear" w:color="auto"/>
              <w:spacing w:line="240" w:lineRule="atLeast"/>
              <w:jc w:val="center"/>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晚餐</w:t>
            </w:r>
          </w:p>
          <w:p>
            <w:pPr>
              <w:widowControl/>
              <w:shd w:val="clear" w:color="auto"/>
              <w:spacing w:line="240" w:lineRule="atLeast"/>
              <w:jc w:val="center"/>
              <w:outlineLvl w:val="4"/>
              <w:rPr>
                <w:rFonts w:cs="Tahoma" w:asciiTheme="minorEastAsia" w:hAnsiTheme="minorEastAsia" w:eastAsiaTheme="minorEastAsia"/>
                <w:b w:val="0"/>
                <w:sz w:val="24"/>
              </w:rPr>
            </w:pPr>
          </w:p>
        </w:tc>
        <w:tc>
          <w:tcPr>
            <w:tcW w:w="851" w:type="dxa"/>
            <w:vMerge w:val="restart"/>
            <w:tcBorders>
              <w:tl2br w:val="nil"/>
              <w:tr2bl w:val="nil"/>
            </w:tcBorders>
            <w:vAlign w:val="center"/>
          </w:tcPr>
          <w:p>
            <w:pPr>
              <w:widowControl/>
              <w:shd w:val="clear" w:color="auto"/>
              <w:spacing w:line="240" w:lineRule="atLeast"/>
              <w:jc w:val="both"/>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厦门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1509"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12"/>
              <w:shd w:val="clear"/>
              <w:spacing w:line="400" w:lineRule="exact"/>
              <w:ind w:right="59"/>
              <w:rPr>
                <w:rFonts w:hint="eastAsia" w:cs="华文细黑" w:asciiTheme="minorEastAsia" w:hAnsiTheme="minorEastAsia" w:eastAsiaTheme="minorEastAsia"/>
                <w:bCs/>
                <w:sz w:val="18"/>
                <w:szCs w:val="18"/>
                <w:lang w:val="en-US" w:eastAsia="en-US"/>
              </w:rPr>
            </w:pPr>
            <w:r>
              <w:rPr>
                <w:rFonts w:hint="eastAsia" w:cs="华文细黑" w:asciiTheme="minorEastAsia" w:hAnsiTheme="minorEastAsia" w:eastAsiaTheme="minorEastAsia"/>
                <w:bCs/>
                <w:sz w:val="18"/>
                <w:szCs w:val="18"/>
                <w:lang w:val="en-US" w:eastAsia="en-US"/>
              </w:rPr>
              <w:t>早餐后，酒店早餐，游览</w:t>
            </w:r>
            <w:r>
              <w:rPr>
                <w:rFonts w:hint="eastAsia" w:cs="华文中宋" w:asciiTheme="minorEastAsia" w:hAnsiTheme="minorEastAsia" w:eastAsiaTheme="minorEastAsia"/>
                <w:b/>
                <w:bCs/>
                <w:color w:val="0070C0"/>
                <w:kern w:val="0"/>
                <w:sz w:val="18"/>
                <w:szCs w:val="18"/>
                <w:lang w:val="en-US" w:eastAsia="en-US" w:bidi="ar-SA"/>
              </w:rPr>
              <w:t>【七彩环岛路】</w:t>
            </w:r>
            <w:r>
              <w:rPr>
                <w:rFonts w:hint="eastAsia" w:cs="华文细黑" w:asciiTheme="minorEastAsia" w:hAnsiTheme="minorEastAsia" w:eastAsiaTheme="minorEastAsia"/>
                <w:bCs/>
                <w:sz w:val="18"/>
                <w:szCs w:val="18"/>
                <w:lang w:val="en-US" w:eastAsia="en-US"/>
              </w:rPr>
              <w:t>（游览时间不少于20分钟）：为国内第一条海滨环岛彩色公路，绿色的大山，青色的植被，黑色的主干道，红色的人行道，黄色的沙滩，蓝色的海洋，像惠安女那条彩色腰带系在厦门这个美女的少女身上，婀娜多姿，美不胜收。中途停留“一国两制，统一中国”远眺金门列岛。之后游览</w:t>
            </w:r>
            <w:r>
              <w:rPr>
                <w:rFonts w:hint="eastAsia" w:cs="华文中宋" w:asciiTheme="minorEastAsia" w:hAnsiTheme="minorEastAsia" w:eastAsiaTheme="minorEastAsia"/>
                <w:b/>
                <w:bCs/>
                <w:color w:val="0070C0"/>
                <w:kern w:val="0"/>
                <w:sz w:val="18"/>
                <w:szCs w:val="18"/>
                <w:lang w:val="en-US" w:eastAsia="en-US" w:bidi="ar-SA"/>
              </w:rPr>
              <w:t>【曾厝垵风情街】</w:t>
            </w:r>
            <w:r>
              <w:rPr>
                <w:rFonts w:hint="eastAsia" w:cs="华文细黑" w:asciiTheme="minorEastAsia" w:hAnsiTheme="minorEastAsia" w:eastAsiaTheme="minorEastAsia"/>
                <w:bCs/>
                <w:sz w:val="18"/>
                <w:szCs w:val="18"/>
                <w:lang w:val="en-US" w:eastAsia="en-US"/>
              </w:rPr>
              <w:t>（游览时间不少于50分钟），这里有很多家庭旅馆、青年客栈、富有情调的咖啡厅、餐吧、个性小店在此云集，曾厝垵多元的风俗信仰，也是一大特色，这里不仅道教、佛教、基督教、伊斯兰教四种宗教齐全，更有厦门独有的、香火旺盛的民间圣妈崇拜，实在可算得上是极具代表性的闽南原生态自然村。其中沿途车上可欣赏到椰风寨、天来泉“赖昌星白楼”以及造型独特的国际会展中心外景。</w:t>
            </w:r>
          </w:p>
          <w:p>
            <w:pPr>
              <w:pStyle w:val="12"/>
              <w:shd w:val="clear"/>
              <w:spacing w:line="400" w:lineRule="exact"/>
              <w:ind w:right="59"/>
              <w:rPr>
                <w:rFonts w:cs="华文细黑" w:asciiTheme="minorEastAsia" w:hAnsiTheme="minorEastAsia" w:eastAsiaTheme="minorEastAsia"/>
                <w:bCs/>
                <w:sz w:val="18"/>
                <w:szCs w:val="18"/>
              </w:rPr>
            </w:pPr>
            <w:r>
              <w:rPr>
                <w:rFonts w:hint="eastAsia" w:cs="华文细黑" w:asciiTheme="minorEastAsia" w:hAnsiTheme="minorEastAsia" w:eastAsiaTheme="minorEastAsia"/>
                <w:bCs/>
                <w:sz w:val="18"/>
                <w:szCs w:val="18"/>
                <w:lang w:val="en-US" w:eastAsia="en-US"/>
              </w:rPr>
              <w:t>前往</w:t>
            </w:r>
            <w:r>
              <w:rPr>
                <w:rFonts w:hint="eastAsia" w:cs="华文中宋" w:asciiTheme="minorEastAsia" w:hAnsiTheme="minorEastAsia" w:eastAsiaTheme="minorEastAsia"/>
                <w:b/>
                <w:bCs/>
                <w:color w:val="0070C0"/>
                <w:kern w:val="0"/>
                <w:sz w:val="18"/>
                <w:szCs w:val="18"/>
                <w:lang w:val="en-US" w:eastAsia="en-US" w:bidi="ar-SA"/>
              </w:rPr>
              <w:t>【厦门老院子•民俗文化风情园】</w:t>
            </w:r>
            <w:r>
              <w:rPr>
                <w:rFonts w:hint="eastAsia" w:cs="华文细黑" w:asciiTheme="minorEastAsia" w:hAnsiTheme="minorEastAsia" w:eastAsiaTheme="minorEastAsia"/>
                <w:bCs/>
                <w:sz w:val="18"/>
                <w:szCs w:val="18"/>
                <w:lang w:val="en-US" w:eastAsia="en-US"/>
              </w:rPr>
              <w:t>老院子民俗文化风情园，通过闽南渔家百姓寻常的生活场景，从多角度展示闽南当地的渔村文化、民俗文化、妈祖文化、南洋文化以及寻根溯源的始祖文化。走进渔村老院子，寻迹闽南特色民俗文化脉络。</w:t>
            </w:r>
            <w:r>
              <w:rPr>
                <w:rFonts w:hint="eastAsia" w:cs="华文中宋" w:asciiTheme="minorEastAsia" w:hAnsiTheme="minorEastAsia" w:eastAsiaTheme="minorEastAsia"/>
                <w:b/>
                <w:bCs/>
                <w:color w:val="0070C0"/>
                <w:kern w:val="0"/>
                <w:sz w:val="18"/>
                <w:szCs w:val="18"/>
                <w:lang w:val="en-US" w:eastAsia="en-US" w:bidi="ar-SA"/>
              </w:rPr>
              <w:t>【厦门老院子•闽南传奇】</w:t>
            </w:r>
            <w:r>
              <w:rPr>
                <w:rFonts w:hint="eastAsia" w:cs="华文细黑" w:asciiTheme="minorEastAsia" w:hAnsiTheme="minorEastAsia" w:eastAsiaTheme="minorEastAsia"/>
                <w:bCs/>
                <w:sz w:val="18"/>
                <w:szCs w:val="18"/>
                <w:lang w:val="en-US" w:eastAsia="en-US"/>
              </w:rPr>
              <w:t>世界首创超大型室内环形实景舞台、360度旋转行走式巨轮观众席，国际领先的水陆空全方位的三维立体交叉演出，其设备投资规模是拉斯维加斯秀的5倍之多，拥有28项发明专利和实用新型专利，堪称演艺界的翘楚，无与伦比。</w:t>
            </w:r>
          </w:p>
        </w:tc>
        <w:tc>
          <w:tcPr>
            <w:tcW w:w="850"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c>
          <w:tcPr>
            <w:tcW w:w="851" w:type="dxa"/>
            <w:vMerge w:val="continue"/>
            <w:tcBorders>
              <w:tl2br w:val="nil"/>
              <w:tr2bl w:val="nil"/>
            </w:tcBorders>
            <w:vAlign w:val="center"/>
          </w:tcPr>
          <w:p>
            <w:pPr>
              <w:widowControl/>
              <w:shd w:val="clear" w:color="auto"/>
              <w:spacing w:line="240" w:lineRule="atLeast"/>
              <w:jc w:val="center"/>
              <w:outlineLvl w:val="4"/>
              <w:rPr>
                <w:rFonts w:cs="Tahoma" w:asciiTheme="minorEastAsia" w:hAnsiTheme="minorEastAsia" w:eastAsiaTheme="minorEastAsia"/>
                <w:b w:val="0"/>
                <w:szCs w:val="2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454" w:hRule="exact"/>
          <w:jc w:val="center"/>
        </w:trPr>
        <w:tc>
          <w:tcPr>
            <w:tcW w:w="675" w:type="dxa"/>
            <w:vMerge w:val="restart"/>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bCs w:val="0"/>
                <w:sz w:val="24"/>
                <w:lang w:eastAsia="zh-CN"/>
              </w:rPr>
              <w:t>D5</w:t>
            </w:r>
          </w:p>
        </w:tc>
        <w:tc>
          <w:tcPr>
            <w:tcW w:w="8364" w:type="dxa"/>
            <w:tcBorders>
              <w:tl2br w:val="nil"/>
              <w:tr2bl w:val="nil"/>
            </w:tcBorders>
          </w:tcPr>
          <w:p>
            <w:pPr>
              <w:widowControl/>
              <w:shd w:val="clear" w:color="auto"/>
              <w:spacing w:line="240" w:lineRule="atLeast"/>
              <w:jc w:val="center"/>
              <w:outlineLvl w:val="4"/>
              <w:rPr>
                <w:rFonts w:hint="eastAsia"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厦门或泉州——昆明</w:t>
            </w:r>
          </w:p>
        </w:tc>
        <w:tc>
          <w:tcPr>
            <w:tcW w:w="850" w:type="dxa"/>
            <w:vMerge w:val="restart"/>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p>
          <w:p>
            <w:pPr>
              <w:widowControl/>
              <w:shd w:val="clear" w:color="auto"/>
              <w:spacing w:line="240" w:lineRule="atLeast"/>
              <w:jc w:val="left"/>
              <w:outlineLvl w:val="4"/>
              <w:rPr>
                <w:rFonts w:hint="eastAsia" w:cs="Tahoma" w:asciiTheme="minorEastAsia" w:hAnsiTheme="minorEastAsia" w:eastAsiaTheme="minorEastAsia"/>
                <w:b/>
                <w:bCs w:val="0"/>
                <w:sz w:val="24"/>
                <w:lang w:eastAsia="zh-CN"/>
              </w:rPr>
            </w:pPr>
            <w:r>
              <w:rPr>
                <w:rFonts w:hint="eastAsia" w:cs="Tahoma" w:asciiTheme="minorEastAsia" w:hAnsiTheme="minorEastAsia" w:eastAsiaTheme="minorEastAsia"/>
                <w:b/>
                <w:bCs w:val="0"/>
                <w:sz w:val="24"/>
                <w:lang w:eastAsia="zh-CN"/>
              </w:rPr>
              <w:t>早餐</w:t>
            </w:r>
          </w:p>
        </w:tc>
        <w:tc>
          <w:tcPr>
            <w:tcW w:w="851" w:type="dxa"/>
            <w:vMerge w:val="restart"/>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24"/>
              </w:rPr>
            </w:pPr>
            <w:r>
              <w:rPr>
                <w:rFonts w:hint="eastAsia" w:cs="Tahoma" w:asciiTheme="minorEastAsia" w:hAnsiTheme="minorEastAsia" w:eastAsiaTheme="minorEastAsia"/>
                <w:b/>
                <w:bCs w:val="0"/>
                <w:sz w:val="24"/>
                <w:lang w:eastAsia="zh-CN"/>
              </w:rPr>
              <w:t>温暖的家</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205" w:hRule="atLeast"/>
          <w:jc w:val="center"/>
        </w:trPr>
        <w:tc>
          <w:tcPr>
            <w:tcW w:w="675"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364" w:type="dxa"/>
            <w:tcBorders>
              <w:tl2br w:val="nil"/>
              <w:tr2bl w:val="nil"/>
            </w:tcBorders>
          </w:tcPr>
          <w:p>
            <w:pPr>
              <w:pStyle w:val="12"/>
              <w:shd w:val="clear" w:color="auto"/>
              <w:wordWrap w:val="0"/>
              <w:spacing w:line="330" w:lineRule="atLeast"/>
              <w:jc w:val="left"/>
              <w:rPr>
                <w:rFonts w:asciiTheme="minorEastAsia" w:hAnsiTheme="minorEastAsia" w:eastAsiaTheme="minorEastAsia"/>
                <w:sz w:val="18"/>
                <w:szCs w:val="18"/>
              </w:rPr>
            </w:pPr>
            <w:r>
              <w:rPr>
                <w:rFonts w:asciiTheme="minorEastAsia" w:hAnsiTheme="minorEastAsia" w:eastAsiaTheme="minorEastAsia"/>
                <w:sz w:val="18"/>
                <w:szCs w:val="18"/>
              </w:rPr>
              <w:t>早餐后安排送往机场，返回温暖的家。</w:t>
            </w:r>
          </w:p>
        </w:tc>
        <w:tc>
          <w:tcPr>
            <w:tcW w:w="850"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c>
          <w:tcPr>
            <w:tcW w:w="851" w:type="dxa"/>
            <w:vMerge w:val="continue"/>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 w:val="18"/>
                <w:szCs w:val="18"/>
              </w:rPr>
            </w:pP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Cs w:val="28"/>
                <w:lang w:eastAsia="zh-CN"/>
              </w:rPr>
            </w:pPr>
          </w:p>
          <w:p>
            <w:pPr>
              <w:widowControl/>
              <w:shd w:val="clear" w:color="auto"/>
              <w:spacing w:line="240" w:lineRule="atLeast"/>
              <w:jc w:val="left"/>
              <w:outlineLvl w:val="4"/>
              <w:rPr>
                <w:rFonts w:hint="eastAsia" w:cs="Tahoma" w:asciiTheme="minorEastAsia" w:hAnsiTheme="minorEastAsia" w:eastAsiaTheme="minorEastAsia"/>
                <w:b w:val="0"/>
                <w:szCs w:val="28"/>
                <w:lang w:eastAsia="zh-CN"/>
              </w:rPr>
            </w:pPr>
          </w:p>
          <w:p>
            <w:pPr>
              <w:widowControl/>
              <w:shd w:val="clear" w:color="auto"/>
              <w:spacing w:line="240" w:lineRule="atLeast"/>
              <w:jc w:val="left"/>
              <w:outlineLvl w:val="4"/>
              <w:rPr>
                <w:rFonts w:hint="eastAsia" w:cs="Tahoma" w:asciiTheme="minorEastAsia" w:hAnsiTheme="minorEastAsia" w:eastAsiaTheme="minorEastAsia"/>
                <w:b w:val="0"/>
                <w:szCs w:val="28"/>
                <w:lang w:eastAsia="zh-CN"/>
              </w:rPr>
            </w:pPr>
            <w:r>
              <w:rPr>
                <w:rFonts w:hint="eastAsia" w:cs="Tahoma" w:asciiTheme="minorEastAsia" w:hAnsiTheme="minorEastAsia" w:eastAsiaTheme="minorEastAsia"/>
                <w:b w:val="0"/>
                <w:szCs w:val="28"/>
                <w:lang w:eastAsia="zh-CN"/>
              </w:rPr>
              <w:t>特殊情况说明</w:t>
            </w:r>
          </w:p>
        </w:tc>
        <w:tc>
          <w:tcPr>
            <w:tcW w:w="10065" w:type="dxa"/>
            <w:gridSpan w:val="3"/>
            <w:tcBorders>
              <w:tl2br w:val="nil"/>
              <w:tr2bl w:val="nil"/>
            </w:tcBorders>
          </w:tcPr>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1.无年龄差别限制，同车8人，但为了您的安全虑温馨提示：65周岁-70周岁老人需填写健康证明/家属免责书。70周岁以上老人需家属陪同，并填写健康证明/家属免责书以及提供个人意外险保险单。</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2、客人自愿放弃行程费用不退，晚班机抵达厦门无法走第一天或最后一天的行程的费用不退；</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 xml:space="preserve">3、在实际游览过程中我社可根据实际情况，在保证行程景点游览的前提下，对景点的游览顺序作合理的调整。 </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4、行程中赠游景点如遇景区特殊原因导致不能游览，或人力不可抗拒因素无法参观，我社有权无偿取消赠游景点并通知游客。</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5、行程中如有因大交通时间原因无法使用的正餐或门票的，由当地导游根据实际情况将未产生的费用现退给客人，由客人签名确认。如果因客人自身原因造成的，其未产生的所有费用概不退还。</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6、本行程门票费用是旅行社团队协议价格核算，12周岁以下按成人操作的儿童和持老人证、军官证、学生证、教师证等其他有效证件享受景区门票优惠的游客不存在价格差异，无差价退还，敬请注意！</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7、儿童报价请另询；</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8、其他内容详见“五星鹭岛”(附件一)补充协议说明书。</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接待服务标准</w:t>
            </w:r>
          </w:p>
        </w:tc>
        <w:tc>
          <w:tcPr>
            <w:tcW w:w="10065" w:type="dxa"/>
            <w:gridSpan w:val="3"/>
            <w:tcBorders>
              <w:tl2br w:val="nil"/>
              <w:tr2bl w:val="nil"/>
            </w:tcBorders>
          </w:tcPr>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1、交  通：往返机票；目的地区间空调旅游车、景区需换乘观光车（或环保车，拼坐，坐满即走）</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2、用  餐：含4个早餐6个正餐，其中含3个特色餐（客家九大簋、海景海鲜桌餐、龙虾鲍鱼餐）</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3、住  宿：全程五星酒店，其中升级一晚五星度假村酒店（五星度假村酒店：天子温泉酒店或同级）</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4、门  票：行程所列景点首道门票。以上景点的游览时间仅供参考（不含索道、缆车及园中园门票；赠送景点或其他项目，客人未产生，费用不退）。</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【温馨提示】</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 xml:space="preserve">因鼓浪屿船票为网络订票，需团进团出，且取消不退费，船票进出港时间以实际购到票为准。  </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鼓浪屿实行人数限制，轮渡票需提前订票，订票后无法补差价补票。</w:t>
            </w:r>
          </w:p>
          <w:p>
            <w:pPr>
              <w:widowControl/>
              <w:shd w:val="clear" w:color="auto"/>
              <w:spacing w:line="240" w:lineRule="atLeast"/>
              <w:jc w:val="left"/>
              <w:outlineLvl w:val="4"/>
              <w:rPr>
                <w:rFonts w:hint="eastAsia" w:cs="Tahoma"/>
                <w:b w:val="0"/>
                <w:sz w:val="18"/>
                <w:szCs w:val="18"/>
                <w:lang w:val="en-US" w:eastAsia="zh-CN"/>
              </w:rPr>
            </w:pPr>
            <w:r>
              <w:rPr>
                <w:rFonts w:hint="eastAsia" w:cs="Tahoma"/>
                <w:b w:val="0"/>
                <w:sz w:val="18"/>
                <w:szCs w:val="18"/>
                <w:lang w:val="en-US" w:eastAsia="zh-CN"/>
              </w:rPr>
              <w:t>小孩身高如超过1.5米，需提前通知我方买全票轮渡票，如因客人信息传达错误引起无法登船等后果由客人自行负责。轮渡票临时补票无法保证与我社预订的班次一致。</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b w:val="0"/>
                <w:sz w:val="18"/>
                <w:szCs w:val="18"/>
                <w:lang w:val="en-US" w:eastAsia="zh-CN"/>
              </w:rPr>
              <w:t>5、导  游：行程中所列参观游览过程中，地方专职中文导游服务及景区讲解员。</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酒店</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18"/>
                <w:szCs w:val="18"/>
              </w:rPr>
            </w:pPr>
            <w:r>
              <w:rPr>
                <w:rFonts w:hint="eastAsia" w:cs="Tahoma" w:asciiTheme="minorEastAsia" w:hAnsiTheme="minorEastAsia" w:eastAsiaTheme="minorEastAsia"/>
                <w:b w:val="0"/>
                <w:sz w:val="18"/>
                <w:szCs w:val="18"/>
              </w:rPr>
              <w:t>厦门五星酒店：灵玲马戏大酒店或翔鹭大酒店或同级酒店</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val="0"/>
                <w:sz w:val="18"/>
                <w:szCs w:val="18"/>
              </w:rPr>
              <w:t>五星度假村：</w:t>
            </w:r>
            <w:r>
              <w:rPr>
                <w:rFonts w:hint="eastAsia" w:cs="Tahoma" w:asciiTheme="minorEastAsia" w:hAnsiTheme="minorEastAsia" w:eastAsiaTheme="minorEastAsia"/>
                <w:b w:val="0"/>
                <w:sz w:val="18"/>
                <w:szCs w:val="18"/>
                <w:lang w:eastAsia="zh-CN"/>
              </w:rPr>
              <w:t>天子温泉</w:t>
            </w:r>
            <w:r>
              <w:rPr>
                <w:rFonts w:hint="eastAsia" w:cs="Tahoma" w:asciiTheme="minorEastAsia" w:hAnsiTheme="minorEastAsia" w:eastAsiaTheme="minorEastAsia"/>
                <w:b w:val="0"/>
                <w:sz w:val="18"/>
                <w:szCs w:val="18"/>
              </w:rPr>
              <w:t>酒店或同级酒店</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费用不含</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1、旅游意外伤害保险及航空意外险（建议旅游者购买）</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2、景区配套旅游设施项目；自由活动期间的餐食费和交通费</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3、个人消费（如酒店内洗衣、电话及未提到的其它服务</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4、中国境内机场（车站）接送；行李物品托管或超重费</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5、酒店押金，单间差或加床费用</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6、因交通延误、取消等意外事件或战争、罢工、自然灾害等不可抗拒力导致的额外费</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7、因旅游者违约、自身过错、自身疾病导致的人身财产损失而额外支付的费用</w:t>
            </w:r>
          </w:p>
          <w:p>
            <w:pPr>
              <w:widowControl/>
              <w:shd w:val="clear" w:color="auto"/>
              <w:spacing w:line="240" w:lineRule="atLeast"/>
              <w:jc w:val="left"/>
              <w:outlineLvl w:val="4"/>
              <w:rPr>
                <w:rFonts w:cs="宋体" w:asciiTheme="minorEastAsia" w:hAnsiTheme="minorEastAsia" w:eastAsiaTheme="minorEastAsia"/>
                <w:bCs w:val="0"/>
                <w:szCs w:val="21"/>
              </w:rPr>
            </w:pPr>
            <w:r>
              <w:rPr>
                <w:rFonts w:hint="eastAsia" w:cs="Tahoma" w:asciiTheme="minorEastAsia" w:hAnsiTheme="minorEastAsia" w:eastAsiaTheme="minorEastAsia"/>
                <w:b w:val="0"/>
                <w:sz w:val="18"/>
                <w:szCs w:val="18"/>
                <w:lang w:val="en-US" w:eastAsia="en-US"/>
              </w:rPr>
              <w:t>8、“旅游费用包含”内容以外的所有费用</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儿童</w:t>
            </w:r>
          </w:p>
        </w:tc>
        <w:tc>
          <w:tcPr>
            <w:tcW w:w="10065" w:type="dxa"/>
            <w:gridSpan w:val="3"/>
            <w:tcBorders>
              <w:tl2br w:val="nil"/>
              <w:tr2bl w:val="nil"/>
            </w:tcBorders>
          </w:tcPr>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费用包含：车位费、半价餐费；（2-12周岁）；</w:t>
            </w:r>
          </w:p>
          <w:p>
            <w:pPr>
              <w:widowControl/>
              <w:shd w:val="clear" w:color="auto"/>
              <w:spacing w:line="240" w:lineRule="atLeast"/>
              <w:jc w:val="left"/>
              <w:outlineLvl w:val="4"/>
              <w:rPr>
                <w:rFonts w:hint="eastAsia" w:cs="Tahoma" w:asciiTheme="minorEastAsia" w:hAnsiTheme="minorEastAsia" w:eastAsiaTheme="minorEastAsia"/>
                <w:b w:val="0"/>
                <w:sz w:val="18"/>
                <w:szCs w:val="18"/>
                <w:lang w:val="en-US" w:eastAsia="en-US"/>
              </w:rPr>
            </w:pPr>
            <w:r>
              <w:rPr>
                <w:rFonts w:hint="eastAsia" w:cs="Tahoma" w:asciiTheme="minorEastAsia" w:hAnsiTheme="minorEastAsia" w:eastAsiaTheme="minorEastAsia"/>
                <w:b w:val="0"/>
                <w:sz w:val="18"/>
                <w:szCs w:val="18"/>
                <w:lang w:val="en-US" w:eastAsia="en-US"/>
              </w:rPr>
              <w:t>不含：不含门票（以景区门市挂牌价公告的折扣为准）；不含床位；不占床不含早餐；如产生其他费用则由家长在当地现付。</w:t>
            </w:r>
          </w:p>
          <w:p>
            <w:pPr>
              <w:widowControl/>
              <w:shd w:val="clear" w:color="auto"/>
              <w:spacing w:line="240" w:lineRule="atLeast"/>
              <w:jc w:val="left"/>
              <w:outlineLvl w:val="4"/>
              <w:rPr>
                <w:rFonts w:cs="Tahoma" w:asciiTheme="minorEastAsia" w:hAnsiTheme="minorEastAsia" w:eastAsiaTheme="minorEastAsia"/>
                <w:b w:val="0"/>
                <w:sz w:val="18"/>
                <w:szCs w:val="18"/>
              </w:rPr>
            </w:pPr>
            <w:r>
              <w:rPr>
                <w:rFonts w:hint="eastAsia" w:cs="Tahoma" w:asciiTheme="minorEastAsia" w:hAnsiTheme="minorEastAsia" w:eastAsiaTheme="minorEastAsia"/>
                <w:b w:val="0"/>
                <w:sz w:val="18"/>
                <w:szCs w:val="18"/>
                <w:lang w:val="en-US" w:eastAsia="en-US"/>
              </w:rPr>
              <w:t>建议：如已超高；建议提前买票：当地现付则会出现比团队折扣票高的情况；请您预知！</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特别声明事项</w:t>
            </w:r>
          </w:p>
        </w:tc>
        <w:tc>
          <w:tcPr>
            <w:tcW w:w="10065" w:type="dxa"/>
            <w:gridSpan w:val="3"/>
            <w:tcBorders>
              <w:tl2br w:val="nil"/>
              <w:tr2bl w:val="nil"/>
            </w:tcBorders>
          </w:tcPr>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1、行程中有些餐厅、酒店及景区出口的卖场或商铺，均不属于旅行社或导游安排的购物场所。</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2、游客自身原因未游览的项目费用不退，游客自身原因离团须弥补旅行社500元/人/离团损失费。</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3、自由活动期间不含任何服务，人身和财产损失旅游者自己承担。</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4、本行程具体游览顺序我社授权地接导游可根据实际情况进行调整，原则是游览内容不能减少。</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5、旅游意外险由游客自理并自身注意所处环境治安状况和游览安全等人身财产安全。凡不可抗力和第三方原因等非因我社原因造成的游览及费用变化，我社不承当相关责任。</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6、该行程为特惠特价团，此行程在报价时已进行综合优惠报价，在旅游当地不再作年龄、特殊证件等优惠退费。</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7、敬请广大游客按地接导游推荐套餐酌情合理选择参加当地自费项目，避免一个项目都不去导致行程不丰满而收获不到舒心旅行，另外，行程中不参加自费项目游览的游客，须在景区外或临时安置地等待且不得有异议及投诉。</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8、地接接待质量评价标注只认可《游客意见单》签署内容，该意见单内容视为地接接待质量评价唯一标准。</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9、游客在旅游当地有投诉及意见的请在当地提出并解决，签署《游客意见单》表示对旅游行程满意无投诉的，我社不再受理游客回程后的任何异地投诉，同时，在旅游当地相关投诉已解决的问题不能作为后续再投诉内容。若有争议，可依据《新旅游法》及《合同法》或相关旅游法，移交到旅游当地法院进行仲裁或诉讼处理。</w:t>
            </w:r>
          </w:p>
          <w:p>
            <w:pPr>
              <w:shd w:val="clear"/>
              <w:spacing w:line="360" w:lineRule="exact"/>
              <w:rPr>
                <w:rFonts w:cs="黑体" w:asciiTheme="minorEastAsia" w:hAnsiTheme="minorEastAsia" w:eastAsiaTheme="minorEastAsia"/>
                <w:b w:val="0"/>
                <w:sz w:val="18"/>
                <w:szCs w:val="18"/>
              </w:rPr>
            </w:pPr>
            <w:r>
              <w:rPr>
                <w:rFonts w:cs="黑体" w:asciiTheme="minorEastAsia" w:hAnsiTheme="minorEastAsia" w:eastAsiaTheme="minorEastAsia"/>
                <w:b w:val="0"/>
                <w:sz w:val="18"/>
                <w:szCs w:val="18"/>
              </w:rPr>
              <w:t>10、游客在旅游当地若有质量问题及投诉、建议，请第一时间拨打我社全国大散拼，质量监督投诉电话：0592-5731977或18059217899。</w:t>
            </w:r>
          </w:p>
          <w:p>
            <w:pPr>
              <w:shd w:val="clear"/>
              <w:spacing w:line="360" w:lineRule="exact"/>
              <w:rPr>
                <w:rFonts w:hint="default" w:cs="黑体" w:asciiTheme="minorEastAsia" w:hAnsiTheme="minorEastAsia" w:eastAsiaTheme="minorEastAsia"/>
                <w:b w:val="0"/>
                <w:sz w:val="18"/>
                <w:szCs w:val="18"/>
                <w:lang w:val="en-US" w:eastAsia="zh-CN"/>
              </w:rPr>
            </w:pPr>
            <w:r>
              <w:rPr>
                <w:rFonts w:hint="eastAsia" w:cs="黑体" w:asciiTheme="minorEastAsia" w:hAnsiTheme="minorEastAsia" w:eastAsiaTheme="minorEastAsia"/>
                <w:b w:val="0"/>
                <w:sz w:val="18"/>
                <w:szCs w:val="18"/>
                <w:lang w:val="en-US" w:eastAsia="zh-CN"/>
              </w:rPr>
              <w:t>11、</w:t>
            </w:r>
            <w:r>
              <w:rPr>
                <w:rFonts w:hint="eastAsia" w:cs="Tahoma"/>
                <w:b w:val="0"/>
                <w:sz w:val="18"/>
                <w:szCs w:val="18"/>
                <w:lang w:val="en-US" w:eastAsia="zh-CN"/>
              </w:rPr>
              <w:t>备  注：超过75岁的不收，坐轮椅的不收，如果在报名时隐瞒，我社有权以游客欺骗行为拒绝操作。</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vAlign w:val="center"/>
          </w:tcPr>
          <w:p>
            <w:pPr>
              <w:shd w:val="clear"/>
              <w:spacing w:line="360" w:lineRule="exact"/>
              <w:jc w:val="center"/>
              <w:rPr>
                <w:rFonts w:cs="黑体" w:asciiTheme="minorEastAsia" w:hAnsiTheme="minorEastAsia" w:eastAsiaTheme="minorEastAsia"/>
                <w:b w:val="0"/>
                <w:szCs w:val="21"/>
              </w:rPr>
            </w:pPr>
            <w:r>
              <w:rPr>
                <w:rFonts w:cs="黑体" w:asciiTheme="minorEastAsia" w:hAnsiTheme="minorEastAsia" w:eastAsiaTheme="minorEastAsia"/>
                <w:b w:val="0"/>
                <w:szCs w:val="21"/>
              </w:rPr>
              <w:t>质量监督</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投诉告之义务：由于旅游产品服务为生产与消费同时进行的无形产品，自身涉及多环节、综合复杂多样性的特点；请游客在旅游过程中对接待社所提供的服务有不满意之处需要投诉：特别是导游司机的服务；请第一时间拨打质量监督投诉电话，将不满意的地方告诉我们、以便我社在第一时间现场核实情况并及为您解决！所有问题在当地积极协调解决处理为妥！否则视为满意。（因旅游服务是无形产品；返程后在调查取证困难）</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填写意见书义务：请游客本着公平、公正、实事求是的原则认真、如实填写〈游客意见书〉。当地解决不了的投诉，我公司将根据〈游客意见书〉的信息对接待质量进行核查裁定，解决投诉以游客和此团其他大部分游客在当地所签署的〈游客意见书〉为依据，恕不受理因游客虚填或不填而产生的服务质量后续争议以及与意见单不符合的投诉。</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3）感谢您对我社的支持和信任，为能给您提供更称心的旅程，我社要求导游不得擅自增加自费项目、如遇相关情况，请与我社质量监督联系，我社旅将立即跟踪处理。</w:t>
            </w:r>
          </w:p>
        </w:tc>
      </w:tr>
      <w:tr>
        <w:tblPrEx>
          <w:tblBorders>
            <w:top w:val="thinThickSmallGap" w:color="938953" w:themeColor="background2" w:themeShade="7F" w:sz="24" w:space="0"/>
            <w:left w:val="thinThickSmallGap" w:color="938953" w:themeColor="background2" w:themeShade="7F" w:sz="24" w:space="0"/>
            <w:bottom w:val="thinThickSmallGap" w:color="938953" w:themeColor="background2" w:themeShade="7F" w:sz="24" w:space="0"/>
            <w:right w:val="thinThickSmallGap" w:color="938953" w:themeColor="background2" w:themeShade="7F" w:sz="24" w:space="0"/>
            <w:insideH w:val="thinThickSmallGap" w:color="938953" w:themeColor="background2" w:themeShade="7F" w:sz="24" w:space="0"/>
            <w:insideV w:val="thinThickSmallGap" w:color="938953" w:themeColor="background2" w:themeShade="7F" w:sz="24" w:space="0"/>
          </w:tblBorders>
          <w:tblLayout w:type="fixed"/>
          <w:tblCellMar>
            <w:top w:w="0" w:type="dxa"/>
            <w:left w:w="108" w:type="dxa"/>
            <w:bottom w:w="0" w:type="dxa"/>
            <w:right w:w="108" w:type="dxa"/>
          </w:tblCellMar>
        </w:tblPrEx>
        <w:trPr>
          <w:trHeight w:val="640" w:hRule="atLeast"/>
          <w:jc w:val="center"/>
        </w:trPr>
        <w:tc>
          <w:tcPr>
            <w:tcW w:w="675" w:type="dxa"/>
            <w:tcBorders>
              <w:tl2br w:val="nil"/>
              <w:tr2bl w:val="nil"/>
            </w:tcBorders>
          </w:tcPr>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p>
          <w:p>
            <w:pPr>
              <w:widowControl/>
              <w:shd w:val="clear" w:color="auto"/>
              <w:spacing w:line="240" w:lineRule="atLeast"/>
              <w:jc w:val="left"/>
              <w:outlineLvl w:val="4"/>
              <w:rPr>
                <w:rFonts w:cs="Tahoma" w:asciiTheme="minorEastAsia" w:hAnsiTheme="minorEastAsia" w:eastAsiaTheme="minorEastAsia"/>
                <w:b w:val="0"/>
                <w:szCs w:val="28"/>
              </w:rPr>
            </w:pPr>
            <w:r>
              <w:rPr>
                <w:rFonts w:cs="Tahoma" w:asciiTheme="minorEastAsia" w:hAnsiTheme="minorEastAsia" w:eastAsiaTheme="minorEastAsia"/>
                <w:b w:val="0"/>
                <w:szCs w:val="28"/>
              </w:rPr>
              <w:t>温馨提示</w:t>
            </w:r>
          </w:p>
        </w:tc>
        <w:tc>
          <w:tcPr>
            <w:tcW w:w="10065" w:type="dxa"/>
            <w:gridSpan w:val="3"/>
            <w:tcBorders>
              <w:tl2br w:val="nil"/>
              <w:tr2bl w:val="nil"/>
            </w:tcBorders>
          </w:tcPr>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一：饮食安全注意事项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旅游期间切勿吃生食、生海鲜等，在旅游目的地不可光顾路边无牌照摊档，不要购买“三无” 商品，忌暴饮暴食，应多喝开水，多吃蔬菜水果，少抽烟，少喝酒。因私自食用不洁食品和海鲜引起的肠胃疾病，旅行社不承担经济赔偿责任。</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不要随意接受和食用陌生人赠送的香烟、食物和饮品，防止不必要的危险。</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为防止旅途中水土不服，旅游者应自备一些常用药品以备不时之需，切勿随意服用他人提供的药品。</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 如对饮食有特殊要求，请在报名时告知旅行社并提前与导游说明，以便更好地给您安排饮食。</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 旅游团队用餐，旅行社按承诺标准确保餐饮卫生及餐食数量，但不一定满足口味需求，敬请旅游者见谅；团队餐中一般不含酒类和特殊饮料，有饮酒习惯者请自行付费购买，但不可贪杯；</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二：住宿安全注意事项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抵达酒店后请您在前台领取酒店名片，如果迷路时可以按名片提示的电话安全顺利返回酒店。携带贵重物品须委托饭店寄存和保管，或存放于酒店保险箱内，离开饭店时别忘了拿走自己的贵重物品及行李</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入住酒店后，应了解酒店安全须知，熟悉安全转移的路线。入住时立即检查房间内设施是否有损坏、缺少、污染。发现问题及时要求更换调整，以免退房时发生不必要的麻烦。</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在洗浴时请注意防滑，建议提前铺好防滑垫，防止滑倒受伤。不得在床上吸烟，正确使用电器、电源</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 睡前及离店时请确保关闭房间门窗。保管好房卡或钥匙，切勿将房间号告诉陌生人，或邀请陌生人到房间内交谈，以免发生人身和财物安全问题。</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三:用车安全注意事项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车辆行驶时尽量避免在车厢内走动或站立，需要走动或站立时，应当扶稳扶好并告知导游和司机。请勿与司机交谈或催促司机开快车，禁止在车内吸烟。请勿将头、手、脚或者行李物品伸出窗外，以免发生意外。不要向车窗外扔物品，以免伤人。</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下车时请不要拥挤，注意脚下安全，并随身携带贵重物品。下车后注意周围车辆安全，以免发生危险。</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乘坐交通工具请提前抵达，以免延误行程。乘坐飞机时带好有效期内的身份证，小孩须带户口簿等有效证件，不携带违禁物品上飞机或汽车。</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4.请严格遵守导游游览时间安排，切勿自行游览，无视导游规定时间，以免耽误其他游客游览行程。</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 由于每组游客的往返航班时间不同，无法安排一个导游一一接送，第一天接机入住酒店和最后一天送机由我社专业人员负责接送，请游客理解。</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四：游览安全注意事项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 为保证计划行程顺利完成，请遵守团队作息时间，积极配合导游工作。在景区内请听从导游安排，跟随导游游览时，注意脚下安全。请不要到“旅游者止步”区域游览。</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 请避免离团活动，如确有需要，请提前以短信或书面方式通报导游，并在约定时间内准时归队。非本公司组织安排的游览活动，旅游者自行承担风险。由此发生的损失及纠纷，由旅游者自行承担和解决，旅行社不承担任何责任。</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3. 法定节假日及暑期等旅游旺季，客流量急剧上升，景区门前、缆车入口、码头登船处等会出现排长队现象，旅行社将根据景点、缆车、游船等开放的具体时间，对叫早、出发等时间做适当的提前或错后调整，请旅游者积极配合。</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4.旅游者参加活动时，应遵守活动项目中有关保障人身、财产安全的措施及规定，在景区指定区域内开展活动，注意人身安全。旅行社不赞成旅游者参加此类活动，旅游者因参加高危险活动造成人身和财产损失，旅行社概不负责。酒后禁止参加高风险娱乐项目。</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5.游客携带未成年的游客时，请认真履行监护责任，管好自己的孩子，不能让未成年人单独行动，并注意安全。</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五：娱乐安全注意事项</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1.参加娱乐活动请选择有资质的健康场所，千万不能进黑店、黄店，以免发生纠纷和人身安全。</w:t>
            </w:r>
          </w:p>
          <w:p>
            <w:pPr>
              <w:pStyle w:val="3"/>
              <w:widowControl/>
              <w:shd w:val="clear"/>
              <w:spacing w:line="360" w:lineRule="exact"/>
              <w:rPr>
                <w:rFonts w:cs="黑体" w:asciiTheme="minorEastAsia" w:hAnsiTheme="minorEastAsia" w:eastAsiaTheme="minorEastAsia"/>
                <w:b w:val="0"/>
                <w:szCs w:val="18"/>
              </w:rPr>
            </w:pPr>
            <w:r>
              <w:rPr>
                <w:rFonts w:cs="黑体" w:asciiTheme="minorEastAsia" w:hAnsiTheme="minorEastAsia" w:eastAsiaTheme="minorEastAsia"/>
                <w:b w:val="0"/>
                <w:szCs w:val="18"/>
              </w:rPr>
              <w:t>2.娱乐要注意节奏，不要过度疲劳而影响身体，一定要管好自己的钱、财、物。营造文明、和谐的旅游环境，关系到每位游客的切身利益。</w:t>
            </w:r>
          </w:p>
        </w:tc>
      </w:tr>
    </w:tbl>
    <w:p>
      <w:pPr>
        <w:shd w:val="clear" w:color="auto"/>
        <w:spacing w:line="300" w:lineRule="exact"/>
        <w:rPr>
          <w:b w:val="0"/>
        </w:rPr>
      </w:pPr>
    </w:p>
    <w:sectPr>
      <w:pgSz w:w="11906" w:h="16838"/>
      <w:pgMar w:top="1134" w:right="851" w:bottom="1134" w:left="851" w:header="851" w:footer="992" w:gutter="0"/>
      <w:pgBorders>
        <w:top w:val="none" w:sz="0" w:space="0"/>
        <w:left w:val="none" w:sz="0" w:space="0"/>
        <w:bottom w:val="none" w:sz="0" w:space="0"/>
        <w:right w:val="none" w:sz="0" w:space="0"/>
      </w:pgBorders>
      <w:cols w:space="720" w:num="1"/>
      <w:docGrid w:type="lines" w:linePitch="38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方正大黑简体">
    <w:altName w:val="黑体"/>
    <w:panose1 w:val="03000509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bordersDoNotSurroundHeader w:val="1"/>
  <w:bordersDoNotSurroundFooter w:val="1"/>
  <w:documentProtection w:enforcement="0"/>
  <w:defaultTabStop w:val="420"/>
  <w:drawingGridHorizontalSpacing w:val="281"/>
  <w:drawingGridVerticalSpacing w:val="19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792"/>
    <w:rsid w:val="00006551"/>
    <w:rsid w:val="000120AC"/>
    <w:rsid w:val="000178ED"/>
    <w:rsid w:val="00022A16"/>
    <w:rsid w:val="00024386"/>
    <w:rsid w:val="0002477B"/>
    <w:rsid w:val="000252E7"/>
    <w:rsid w:val="00026E24"/>
    <w:rsid w:val="00032876"/>
    <w:rsid w:val="00037FFA"/>
    <w:rsid w:val="000464BD"/>
    <w:rsid w:val="00050EFE"/>
    <w:rsid w:val="00054380"/>
    <w:rsid w:val="00055168"/>
    <w:rsid w:val="00062732"/>
    <w:rsid w:val="00064FE3"/>
    <w:rsid w:val="00066AE0"/>
    <w:rsid w:val="00073B0C"/>
    <w:rsid w:val="00081016"/>
    <w:rsid w:val="00087E8B"/>
    <w:rsid w:val="00093948"/>
    <w:rsid w:val="00093D6E"/>
    <w:rsid w:val="00097649"/>
    <w:rsid w:val="000A1300"/>
    <w:rsid w:val="000B0461"/>
    <w:rsid w:val="000B4086"/>
    <w:rsid w:val="000C1074"/>
    <w:rsid w:val="000D3326"/>
    <w:rsid w:val="000E07C3"/>
    <w:rsid w:val="000E55A6"/>
    <w:rsid w:val="000F1EBF"/>
    <w:rsid w:val="000F44FB"/>
    <w:rsid w:val="000F5695"/>
    <w:rsid w:val="0011013D"/>
    <w:rsid w:val="00123D8D"/>
    <w:rsid w:val="00124FC5"/>
    <w:rsid w:val="00125178"/>
    <w:rsid w:val="0012586E"/>
    <w:rsid w:val="001337F3"/>
    <w:rsid w:val="00160F8A"/>
    <w:rsid w:val="00162B02"/>
    <w:rsid w:val="00163ABF"/>
    <w:rsid w:val="00166337"/>
    <w:rsid w:val="00166700"/>
    <w:rsid w:val="001726BA"/>
    <w:rsid w:val="00172A27"/>
    <w:rsid w:val="00173D86"/>
    <w:rsid w:val="00177854"/>
    <w:rsid w:val="001835BE"/>
    <w:rsid w:val="00184118"/>
    <w:rsid w:val="00185285"/>
    <w:rsid w:val="00193778"/>
    <w:rsid w:val="0019392C"/>
    <w:rsid w:val="00193F8F"/>
    <w:rsid w:val="001951D1"/>
    <w:rsid w:val="0019711C"/>
    <w:rsid w:val="001A3CAB"/>
    <w:rsid w:val="001A67FB"/>
    <w:rsid w:val="001A7ABB"/>
    <w:rsid w:val="001B0B89"/>
    <w:rsid w:val="001C01E6"/>
    <w:rsid w:val="001C140E"/>
    <w:rsid w:val="001C32FC"/>
    <w:rsid w:val="001C5C76"/>
    <w:rsid w:val="001D15DA"/>
    <w:rsid w:val="001D2280"/>
    <w:rsid w:val="001D2A43"/>
    <w:rsid w:val="001E35F0"/>
    <w:rsid w:val="00201310"/>
    <w:rsid w:val="00204C8E"/>
    <w:rsid w:val="002053A9"/>
    <w:rsid w:val="0020782D"/>
    <w:rsid w:val="00212FE5"/>
    <w:rsid w:val="0021764C"/>
    <w:rsid w:val="0022563C"/>
    <w:rsid w:val="002262CB"/>
    <w:rsid w:val="0023232A"/>
    <w:rsid w:val="00235673"/>
    <w:rsid w:val="00237D25"/>
    <w:rsid w:val="002416D8"/>
    <w:rsid w:val="0024573A"/>
    <w:rsid w:val="0025592E"/>
    <w:rsid w:val="00265322"/>
    <w:rsid w:val="00266B80"/>
    <w:rsid w:val="00267471"/>
    <w:rsid w:val="00274FCE"/>
    <w:rsid w:val="00277F65"/>
    <w:rsid w:val="0028370D"/>
    <w:rsid w:val="002868F5"/>
    <w:rsid w:val="00293438"/>
    <w:rsid w:val="00293C1B"/>
    <w:rsid w:val="0029568A"/>
    <w:rsid w:val="00295E7C"/>
    <w:rsid w:val="002A273C"/>
    <w:rsid w:val="002A4F1E"/>
    <w:rsid w:val="002A5022"/>
    <w:rsid w:val="002B0BDC"/>
    <w:rsid w:val="002C79B0"/>
    <w:rsid w:val="002D1734"/>
    <w:rsid w:val="002D2BAA"/>
    <w:rsid w:val="002D553D"/>
    <w:rsid w:val="002E0AF1"/>
    <w:rsid w:val="002E1F6E"/>
    <w:rsid w:val="002E2810"/>
    <w:rsid w:val="002F1EEF"/>
    <w:rsid w:val="002F45DB"/>
    <w:rsid w:val="00300E3F"/>
    <w:rsid w:val="00304AC6"/>
    <w:rsid w:val="00305F19"/>
    <w:rsid w:val="003068B3"/>
    <w:rsid w:val="00310CC8"/>
    <w:rsid w:val="00314102"/>
    <w:rsid w:val="0032012C"/>
    <w:rsid w:val="0032333D"/>
    <w:rsid w:val="00330F1F"/>
    <w:rsid w:val="0033499B"/>
    <w:rsid w:val="00334AD3"/>
    <w:rsid w:val="00340408"/>
    <w:rsid w:val="00342699"/>
    <w:rsid w:val="0034462D"/>
    <w:rsid w:val="00345641"/>
    <w:rsid w:val="00350C09"/>
    <w:rsid w:val="003537FF"/>
    <w:rsid w:val="003615D3"/>
    <w:rsid w:val="00362A53"/>
    <w:rsid w:val="00365281"/>
    <w:rsid w:val="003673AF"/>
    <w:rsid w:val="00370967"/>
    <w:rsid w:val="00371E80"/>
    <w:rsid w:val="00376A70"/>
    <w:rsid w:val="0037708E"/>
    <w:rsid w:val="00377F82"/>
    <w:rsid w:val="00386D0C"/>
    <w:rsid w:val="0038711C"/>
    <w:rsid w:val="00391378"/>
    <w:rsid w:val="003927C3"/>
    <w:rsid w:val="003945CF"/>
    <w:rsid w:val="003A3565"/>
    <w:rsid w:val="003A39F8"/>
    <w:rsid w:val="003B0FD0"/>
    <w:rsid w:val="003B26CF"/>
    <w:rsid w:val="003B3E3E"/>
    <w:rsid w:val="003C0F8F"/>
    <w:rsid w:val="003C7008"/>
    <w:rsid w:val="003D1CBD"/>
    <w:rsid w:val="003D475A"/>
    <w:rsid w:val="003E08CE"/>
    <w:rsid w:val="003E0FD0"/>
    <w:rsid w:val="003F5DEE"/>
    <w:rsid w:val="0040019C"/>
    <w:rsid w:val="00401177"/>
    <w:rsid w:val="00405E1C"/>
    <w:rsid w:val="00405F27"/>
    <w:rsid w:val="00406629"/>
    <w:rsid w:val="004303D3"/>
    <w:rsid w:val="00436D66"/>
    <w:rsid w:val="00441B0F"/>
    <w:rsid w:val="00443EB2"/>
    <w:rsid w:val="00446A4B"/>
    <w:rsid w:val="00446F9C"/>
    <w:rsid w:val="00456B12"/>
    <w:rsid w:val="004613A1"/>
    <w:rsid w:val="00462E7A"/>
    <w:rsid w:val="004643DA"/>
    <w:rsid w:val="004709C3"/>
    <w:rsid w:val="0047217E"/>
    <w:rsid w:val="004723A8"/>
    <w:rsid w:val="00475A31"/>
    <w:rsid w:val="004777D8"/>
    <w:rsid w:val="00482500"/>
    <w:rsid w:val="00482FCF"/>
    <w:rsid w:val="00493853"/>
    <w:rsid w:val="004A0B3F"/>
    <w:rsid w:val="004A0C77"/>
    <w:rsid w:val="004A2CF4"/>
    <w:rsid w:val="004B4418"/>
    <w:rsid w:val="004B45A3"/>
    <w:rsid w:val="004B532C"/>
    <w:rsid w:val="004B75FD"/>
    <w:rsid w:val="004C108B"/>
    <w:rsid w:val="004D231A"/>
    <w:rsid w:val="004E0CAC"/>
    <w:rsid w:val="004E1E8E"/>
    <w:rsid w:val="004E3866"/>
    <w:rsid w:val="004F10A1"/>
    <w:rsid w:val="004F604B"/>
    <w:rsid w:val="0050046B"/>
    <w:rsid w:val="005024FB"/>
    <w:rsid w:val="00504225"/>
    <w:rsid w:val="005070F9"/>
    <w:rsid w:val="005224A7"/>
    <w:rsid w:val="00527F66"/>
    <w:rsid w:val="00532D54"/>
    <w:rsid w:val="0053654C"/>
    <w:rsid w:val="00536C11"/>
    <w:rsid w:val="00537580"/>
    <w:rsid w:val="00537844"/>
    <w:rsid w:val="0054635D"/>
    <w:rsid w:val="00547DB9"/>
    <w:rsid w:val="00553FBC"/>
    <w:rsid w:val="0055418D"/>
    <w:rsid w:val="0056052B"/>
    <w:rsid w:val="00560B26"/>
    <w:rsid w:val="00562FDD"/>
    <w:rsid w:val="005753C5"/>
    <w:rsid w:val="00581C1D"/>
    <w:rsid w:val="0058501B"/>
    <w:rsid w:val="005903E6"/>
    <w:rsid w:val="005936D8"/>
    <w:rsid w:val="00595F02"/>
    <w:rsid w:val="005970B0"/>
    <w:rsid w:val="005B3BDC"/>
    <w:rsid w:val="005B6F32"/>
    <w:rsid w:val="005C302F"/>
    <w:rsid w:val="005C305B"/>
    <w:rsid w:val="005C47E7"/>
    <w:rsid w:val="005C7158"/>
    <w:rsid w:val="005D07EE"/>
    <w:rsid w:val="005D4F71"/>
    <w:rsid w:val="005D50CC"/>
    <w:rsid w:val="005D5CFC"/>
    <w:rsid w:val="005D5E51"/>
    <w:rsid w:val="005D6640"/>
    <w:rsid w:val="005E605F"/>
    <w:rsid w:val="005F5725"/>
    <w:rsid w:val="005F58D7"/>
    <w:rsid w:val="005F74CC"/>
    <w:rsid w:val="005F7AAC"/>
    <w:rsid w:val="00614385"/>
    <w:rsid w:val="006160F4"/>
    <w:rsid w:val="00616825"/>
    <w:rsid w:val="006214D5"/>
    <w:rsid w:val="00624A46"/>
    <w:rsid w:val="006270B2"/>
    <w:rsid w:val="00632B66"/>
    <w:rsid w:val="00637DC6"/>
    <w:rsid w:val="00641EEE"/>
    <w:rsid w:val="00645F0F"/>
    <w:rsid w:val="0064752B"/>
    <w:rsid w:val="00655E05"/>
    <w:rsid w:val="0066535C"/>
    <w:rsid w:val="0066628D"/>
    <w:rsid w:val="006743AE"/>
    <w:rsid w:val="00675AB0"/>
    <w:rsid w:val="00675F27"/>
    <w:rsid w:val="00680093"/>
    <w:rsid w:val="0068153D"/>
    <w:rsid w:val="00681F50"/>
    <w:rsid w:val="00683F9E"/>
    <w:rsid w:val="006857E1"/>
    <w:rsid w:val="00685A62"/>
    <w:rsid w:val="00685FE8"/>
    <w:rsid w:val="006A27B5"/>
    <w:rsid w:val="006A499F"/>
    <w:rsid w:val="006B11AC"/>
    <w:rsid w:val="006B13AA"/>
    <w:rsid w:val="006C1909"/>
    <w:rsid w:val="006C656C"/>
    <w:rsid w:val="006D03FE"/>
    <w:rsid w:val="006D316C"/>
    <w:rsid w:val="006D59EF"/>
    <w:rsid w:val="006E67F8"/>
    <w:rsid w:val="006E7175"/>
    <w:rsid w:val="006F4237"/>
    <w:rsid w:val="006F4859"/>
    <w:rsid w:val="006F61D4"/>
    <w:rsid w:val="006F62F6"/>
    <w:rsid w:val="00705795"/>
    <w:rsid w:val="00710C3E"/>
    <w:rsid w:val="00713284"/>
    <w:rsid w:val="0071376C"/>
    <w:rsid w:val="00713E57"/>
    <w:rsid w:val="007419C8"/>
    <w:rsid w:val="00744A38"/>
    <w:rsid w:val="00745224"/>
    <w:rsid w:val="00747A65"/>
    <w:rsid w:val="00755499"/>
    <w:rsid w:val="0076178C"/>
    <w:rsid w:val="00764632"/>
    <w:rsid w:val="007651F5"/>
    <w:rsid w:val="00770F7D"/>
    <w:rsid w:val="007715EC"/>
    <w:rsid w:val="00776279"/>
    <w:rsid w:val="00780596"/>
    <w:rsid w:val="007908BC"/>
    <w:rsid w:val="007A3D8B"/>
    <w:rsid w:val="007B3464"/>
    <w:rsid w:val="007B4A06"/>
    <w:rsid w:val="007B65AE"/>
    <w:rsid w:val="007C4FBD"/>
    <w:rsid w:val="007C506E"/>
    <w:rsid w:val="007C5F1F"/>
    <w:rsid w:val="007C733D"/>
    <w:rsid w:val="007D07F8"/>
    <w:rsid w:val="007D1FA7"/>
    <w:rsid w:val="007D561D"/>
    <w:rsid w:val="007E012E"/>
    <w:rsid w:val="007E5277"/>
    <w:rsid w:val="007E6431"/>
    <w:rsid w:val="007E7C2F"/>
    <w:rsid w:val="007F44C9"/>
    <w:rsid w:val="007F552C"/>
    <w:rsid w:val="00800EE9"/>
    <w:rsid w:val="00806E80"/>
    <w:rsid w:val="00813D88"/>
    <w:rsid w:val="008210A5"/>
    <w:rsid w:val="008267D8"/>
    <w:rsid w:val="00827D2E"/>
    <w:rsid w:val="008315C6"/>
    <w:rsid w:val="008325C1"/>
    <w:rsid w:val="008330F9"/>
    <w:rsid w:val="008341E9"/>
    <w:rsid w:val="0083696C"/>
    <w:rsid w:val="00836B4F"/>
    <w:rsid w:val="0083723A"/>
    <w:rsid w:val="008378A2"/>
    <w:rsid w:val="008451B6"/>
    <w:rsid w:val="00846153"/>
    <w:rsid w:val="00847C9F"/>
    <w:rsid w:val="008500DE"/>
    <w:rsid w:val="00854040"/>
    <w:rsid w:val="00855402"/>
    <w:rsid w:val="0086371D"/>
    <w:rsid w:val="0086428B"/>
    <w:rsid w:val="008708D3"/>
    <w:rsid w:val="00873580"/>
    <w:rsid w:val="008777DA"/>
    <w:rsid w:val="00883D74"/>
    <w:rsid w:val="00886008"/>
    <w:rsid w:val="0088693B"/>
    <w:rsid w:val="008936BE"/>
    <w:rsid w:val="008A1B1E"/>
    <w:rsid w:val="008A24AC"/>
    <w:rsid w:val="008A6234"/>
    <w:rsid w:val="008B2AC6"/>
    <w:rsid w:val="008B7878"/>
    <w:rsid w:val="008C0EC3"/>
    <w:rsid w:val="008C372D"/>
    <w:rsid w:val="008C4656"/>
    <w:rsid w:val="008C6C2F"/>
    <w:rsid w:val="008D00D8"/>
    <w:rsid w:val="008E1896"/>
    <w:rsid w:val="008E1F97"/>
    <w:rsid w:val="008E67AD"/>
    <w:rsid w:val="008F0D44"/>
    <w:rsid w:val="008F694C"/>
    <w:rsid w:val="009057B8"/>
    <w:rsid w:val="00906CC6"/>
    <w:rsid w:val="009079F9"/>
    <w:rsid w:val="009120A0"/>
    <w:rsid w:val="00912CEF"/>
    <w:rsid w:val="00914080"/>
    <w:rsid w:val="00915C97"/>
    <w:rsid w:val="0092557A"/>
    <w:rsid w:val="00931861"/>
    <w:rsid w:val="009338C2"/>
    <w:rsid w:val="00935D2B"/>
    <w:rsid w:val="00952A9E"/>
    <w:rsid w:val="009544F1"/>
    <w:rsid w:val="00963A75"/>
    <w:rsid w:val="0096515A"/>
    <w:rsid w:val="00972815"/>
    <w:rsid w:val="009728E4"/>
    <w:rsid w:val="0097352D"/>
    <w:rsid w:val="00973686"/>
    <w:rsid w:val="00974291"/>
    <w:rsid w:val="00974A8D"/>
    <w:rsid w:val="0097557C"/>
    <w:rsid w:val="00977549"/>
    <w:rsid w:val="009839A9"/>
    <w:rsid w:val="00985CEC"/>
    <w:rsid w:val="009A22FB"/>
    <w:rsid w:val="009A2A56"/>
    <w:rsid w:val="009A391A"/>
    <w:rsid w:val="009B1C49"/>
    <w:rsid w:val="009B3529"/>
    <w:rsid w:val="009C030A"/>
    <w:rsid w:val="009C0597"/>
    <w:rsid w:val="009C06C5"/>
    <w:rsid w:val="009C4747"/>
    <w:rsid w:val="009D3AAB"/>
    <w:rsid w:val="009D43CC"/>
    <w:rsid w:val="009D6F67"/>
    <w:rsid w:val="009E0785"/>
    <w:rsid w:val="009E1059"/>
    <w:rsid w:val="009E374B"/>
    <w:rsid w:val="009E66C9"/>
    <w:rsid w:val="009E74B5"/>
    <w:rsid w:val="009F1A86"/>
    <w:rsid w:val="009F62C7"/>
    <w:rsid w:val="009F6E04"/>
    <w:rsid w:val="00A031D4"/>
    <w:rsid w:val="00A04446"/>
    <w:rsid w:val="00A04D3D"/>
    <w:rsid w:val="00A06A3F"/>
    <w:rsid w:val="00A06F5A"/>
    <w:rsid w:val="00A101F6"/>
    <w:rsid w:val="00A1119B"/>
    <w:rsid w:val="00A11201"/>
    <w:rsid w:val="00A15A28"/>
    <w:rsid w:val="00A25EBB"/>
    <w:rsid w:val="00A3428D"/>
    <w:rsid w:val="00A356B1"/>
    <w:rsid w:val="00A36A88"/>
    <w:rsid w:val="00A419A8"/>
    <w:rsid w:val="00A42D52"/>
    <w:rsid w:val="00A47C89"/>
    <w:rsid w:val="00A516D1"/>
    <w:rsid w:val="00A51A6E"/>
    <w:rsid w:val="00A531BC"/>
    <w:rsid w:val="00A662D6"/>
    <w:rsid w:val="00A66CEA"/>
    <w:rsid w:val="00A70D15"/>
    <w:rsid w:val="00A7233A"/>
    <w:rsid w:val="00A75EBA"/>
    <w:rsid w:val="00A76810"/>
    <w:rsid w:val="00A81FE4"/>
    <w:rsid w:val="00A8477B"/>
    <w:rsid w:val="00A869BE"/>
    <w:rsid w:val="00A87961"/>
    <w:rsid w:val="00A95087"/>
    <w:rsid w:val="00A95430"/>
    <w:rsid w:val="00AA0831"/>
    <w:rsid w:val="00AA102D"/>
    <w:rsid w:val="00AA3369"/>
    <w:rsid w:val="00AA3A65"/>
    <w:rsid w:val="00AA5434"/>
    <w:rsid w:val="00AB2BF9"/>
    <w:rsid w:val="00AB32EC"/>
    <w:rsid w:val="00AB4B13"/>
    <w:rsid w:val="00AC0644"/>
    <w:rsid w:val="00AC2CAF"/>
    <w:rsid w:val="00AC3641"/>
    <w:rsid w:val="00AD3C4B"/>
    <w:rsid w:val="00AD7319"/>
    <w:rsid w:val="00AE1529"/>
    <w:rsid w:val="00AE6DC1"/>
    <w:rsid w:val="00AF06B5"/>
    <w:rsid w:val="00AF4A5C"/>
    <w:rsid w:val="00AF5A1B"/>
    <w:rsid w:val="00B055BF"/>
    <w:rsid w:val="00B15E83"/>
    <w:rsid w:val="00B17756"/>
    <w:rsid w:val="00B221E8"/>
    <w:rsid w:val="00B36563"/>
    <w:rsid w:val="00B40772"/>
    <w:rsid w:val="00B428A2"/>
    <w:rsid w:val="00B42FD9"/>
    <w:rsid w:val="00B52EAC"/>
    <w:rsid w:val="00B54A42"/>
    <w:rsid w:val="00B56607"/>
    <w:rsid w:val="00B579B8"/>
    <w:rsid w:val="00B6301F"/>
    <w:rsid w:val="00B657CC"/>
    <w:rsid w:val="00B66998"/>
    <w:rsid w:val="00B903D2"/>
    <w:rsid w:val="00B91EBD"/>
    <w:rsid w:val="00BA17E3"/>
    <w:rsid w:val="00BA2EC3"/>
    <w:rsid w:val="00BA7D4F"/>
    <w:rsid w:val="00BB4115"/>
    <w:rsid w:val="00BC084B"/>
    <w:rsid w:val="00BC0B5D"/>
    <w:rsid w:val="00BC23D8"/>
    <w:rsid w:val="00BC3569"/>
    <w:rsid w:val="00BC6B7A"/>
    <w:rsid w:val="00BD0636"/>
    <w:rsid w:val="00BD0CF4"/>
    <w:rsid w:val="00BD45AC"/>
    <w:rsid w:val="00BE0951"/>
    <w:rsid w:val="00BE0AB4"/>
    <w:rsid w:val="00BE65E1"/>
    <w:rsid w:val="00C05FAD"/>
    <w:rsid w:val="00C07470"/>
    <w:rsid w:val="00C1185C"/>
    <w:rsid w:val="00C12044"/>
    <w:rsid w:val="00C23D2B"/>
    <w:rsid w:val="00C36422"/>
    <w:rsid w:val="00C405BB"/>
    <w:rsid w:val="00C40F56"/>
    <w:rsid w:val="00C47CB4"/>
    <w:rsid w:val="00C5359C"/>
    <w:rsid w:val="00C54752"/>
    <w:rsid w:val="00C61184"/>
    <w:rsid w:val="00C64AB8"/>
    <w:rsid w:val="00C65FD9"/>
    <w:rsid w:val="00C73C3A"/>
    <w:rsid w:val="00C7763D"/>
    <w:rsid w:val="00C87827"/>
    <w:rsid w:val="00C94A71"/>
    <w:rsid w:val="00C96E2B"/>
    <w:rsid w:val="00C9799A"/>
    <w:rsid w:val="00CA049E"/>
    <w:rsid w:val="00CA399A"/>
    <w:rsid w:val="00CB1ED6"/>
    <w:rsid w:val="00CB3F70"/>
    <w:rsid w:val="00CB5E63"/>
    <w:rsid w:val="00CC5F27"/>
    <w:rsid w:val="00CC6B2A"/>
    <w:rsid w:val="00CD201C"/>
    <w:rsid w:val="00CD3AE0"/>
    <w:rsid w:val="00CD5D1E"/>
    <w:rsid w:val="00CD7AAF"/>
    <w:rsid w:val="00CE13B9"/>
    <w:rsid w:val="00CF1C79"/>
    <w:rsid w:val="00CF6B6E"/>
    <w:rsid w:val="00D072EC"/>
    <w:rsid w:val="00D1033C"/>
    <w:rsid w:val="00D11EA9"/>
    <w:rsid w:val="00D12C46"/>
    <w:rsid w:val="00D14AFD"/>
    <w:rsid w:val="00D14E3A"/>
    <w:rsid w:val="00D14FAC"/>
    <w:rsid w:val="00D16D8A"/>
    <w:rsid w:val="00D273B3"/>
    <w:rsid w:val="00D310A4"/>
    <w:rsid w:val="00D40284"/>
    <w:rsid w:val="00D44A28"/>
    <w:rsid w:val="00D5046C"/>
    <w:rsid w:val="00D51213"/>
    <w:rsid w:val="00D53BD6"/>
    <w:rsid w:val="00D6040F"/>
    <w:rsid w:val="00D6314F"/>
    <w:rsid w:val="00D6368D"/>
    <w:rsid w:val="00D63F12"/>
    <w:rsid w:val="00D64E87"/>
    <w:rsid w:val="00D65753"/>
    <w:rsid w:val="00D660B0"/>
    <w:rsid w:val="00D73673"/>
    <w:rsid w:val="00D81633"/>
    <w:rsid w:val="00D8206E"/>
    <w:rsid w:val="00D84D4B"/>
    <w:rsid w:val="00D855EB"/>
    <w:rsid w:val="00D92012"/>
    <w:rsid w:val="00D941DB"/>
    <w:rsid w:val="00D94D1A"/>
    <w:rsid w:val="00D96443"/>
    <w:rsid w:val="00D97DDD"/>
    <w:rsid w:val="00DA05FE"/>
    <w:rsid w:val="00DA21E1"/>
    <w:rsid w:val="00DA3271"/>
    <w:rsid w:val="00DA4B82"/>
    <w:rsid w:val="00DB120D"/>
    <w:rsid w:val="00DB18C1"/>
    <w:rsid w:val="00DB449D"/>
    <w:rsid w:val="00DB496E"/>
    <w:rsid w:val="00DB56D1"/>
    <w:rsid w:val="00DC5BB4"/>
    <w:rsid w:val="00DD5153"/>
    <w:rsid w:val="00DE52D4"/>
    <w:rsid w:val="00DF0106"/>
    <w:rsid w:val="00E0749C"/>
    <w:rsid w:val="00E1060C"/>
    <w:rsid w:val="00E151A3"/>
    <w:rsid w:val="00E17D66"/>
    <w:rsid w:val="00E21301"/>
    <w:rsid w:val="00E23E12"/>
    <w:rsid w:val="00E264F9"/>
    <w:rsid w:val="00E26BF5"/>
    <w:rsid w:val="00E37CE3"/>
    <w:rsid w:val="00E40E41"/>
    <w:rsid w:val="00E41E6C"/>
    <w:rsid w:val="00E44F74"/>
    <w:rsid w:val="00E54247"/>
    <w:rsid w:val="00E54632"/>
    <w:rsid w:val="00E673AB"/>
    <w:rsid w:val="00E70E4E"/>
    <w:rsid w:val="00E76C9C"/>
    <w:rsid w:val="00E77BA5"/>
    <w:rsid w:val="00E9746B"/>
    <w:rsid w:val="00EA2230"/>
    <w:rsid w:val="00EB0CF9"/>
    <w:rsid w:val="00EB0DAF"/>
    <w:rsid w:val="00EB402F"/>
    <w:rsid w:val="00EB42F8"/>
    <w:rsid w:val="00EB4379"/>
    <w:rsid w:val="00EC03C3"/>
    <w:rsid w:val="00EC4EC0"/>
    <w:rsid w:val="00ED2E94"/>
    <w:rsid w:val="00ED5BA8"/>
    <w:rsid w:val="00ED6648"/>
    <w:rsid w:val="00ED7F67"/>
    <w:rsid w:val="00EE017D"/>
    <w:rsid w:val="00EE545C"/>
    <w:rsid w:val="00EE5B1C"/>
    <w:rsid w:val="00EE5F26"/>
    <w:rsid w:val="00F033EB"/>
    <w:rsid w:val="00F03F02"/>
    <w:rsid w:val="00F040DF"/>
    <w:rsid w:val="00F11C2C"/>
    <w:rsid w:val="00F15C8E"/>
    <w:rsid w:val="00F24155"/>
    <w:rsid w:val="00F27B24"/>
    <w:rsid w:val="00F30BAB"/>
    <w:rsid w:val="00F33789"/>
    <w:rsid w:val="00F35BD1"/>
    <w:rsid w:val="00F40C6A"/>
    <w:rsid w:val="00F43157"/>
    <w:rsid w:val="00F4477D"/>
    <w:rsid w:val="00F57FB0"/>
    <w:rsid w:val="00F6570F"/>
    <w:rsid w:val="00F707E9"/>
    <w:rsid w:val="00F7162E"/>
    <w:rsid w:val="00F769F2"/>
    <w:rsid w:val="00F77E80"/>
    <w:rsid w:val="00F8001A"/>
    <w:rsid w:val="00F80041"/>
    <w:rsid w:val="00F8154E"/>
    <w:rsid w:val="00F815AD"/>
    <w:rsid w:val="00F83DE0"/>
    <w:rsid w:val="00F84BFC"/>
    <w:rsid w:val="00F86AFC"/>
    <w:rsid w:val="00F900B1"/>
    <w:rsid w:val="00F93F88"/>
    <w:rsid w:val="00F948A8"/>
    <w:rsid w:val="00F956B3"/>
    <w:rsid w:val="00F96594"/>
    <w:rsid w:val="00F97A94"/>
    <w:rsid w:val="00FA500F"/>
    <w:rsid w:val="00FA76F5"/>
    <w:rsid w:val="00FB00B4"/>
    <w:rsid w:val="00FB16A8"/>
    <w:rsid w:val="00FB5029"/>
    <w:rsid w:val="00FC261F"/>
    <w:rsid w:val="00FC2686"/>
    <w:rsid w:val="00FC64D3"/>
    <w:rsid w:val="00FC785C"/>
    <w:rsid w:val="00FD1A1D"/>
    <w:rsid w:val="00FD5AE9"/>
    <w:rsid w:val="00FE1EB5"/>
    <w:rsid w:val="00FE248D"/>
    <w:rsid w:val="00FE3ED4"/>
    <w:rsid w:val="00FE75A8"/>
    <w:rsid w:val="00FF19CA"/>
    <w:rsid w:val="00FF1A71"/>
    <w:rsid w:val="00FF2EE9"/>
    <w:rsid w:val="00FF4CF0"/>
    <w:rsid w:val="00FF53D6"/>
    <w:rsid w:val="00FF7614"/>
    <w:rsid w:val="01C84DED"/>
    <w:rsid w:val="03522570"/>
    <w:rsid w:val="047341FB"/>
    <w:rsid w:val="07AC4165"/>
    <w:rsid w:val="0A550002"/>
    <w:rsid w:val="0A8E3AE2"/>
    <w:rsid w:val="0AEF6821"/>
    <w:rsid w:val="0D4D1645"/>
    <w:rsid w:val="0F7E61A8"/>
    <w:rsid w:val="115E178F"/>
    <w:rsid w:val="11920CFD"/>
    <w:rsid w:val="177278D8"/>
    <w:rsid w:val="17B57F29"/>
    <w:rsid w:val="18712A93"/>
    <w:rsid w:val="19850629"/>
    <w:rsid w:val="19F60746"/>
    <w:rsid w:val="1B114590"/>
    <w:rsid w:val="1C45139B"/>
    <w:rsid w:val="1FD0587D"/>
    <w:rsid w:val="20EE771A"/>
    <w:rsid w:val="227C5354"/>
    <w:rsid w:val="22F334AD"/>
    <w:rsid w:val="23E02C9C"/>
    <w:rsid w:val="247260A8"/>
    <w:rsid w:val="25177AFC"/>
    <w:rsid w:val="258F7240"/>
    <w:rsid w:val="26665E8F"/>
    <w:rsid w:val="267829C8"/>
    <w:rsid w:val="269C27E0"/>
    <w:rsid w:val="284703E1"/>
    <w:rsid w:val="28707620"/>
    <w:rsid w:val="29554ABE"/>
    <w:rsid w:val="29D37D2A"/>
    <w:rsid w:val="2A6B6334"/>
    <w:rsid w:val="2A8E0325"/>
    <w:rsid w:val="2B8C000A"/>
    <w:rsid w:val="2C897510"/>
    <w:rsid w:val="2F376B57"/>
    <w:rsid w:val="2F3C1EC6"/>
    <w:rsid w:val="2FC10386"/>
    <w:rsid w:val="30BB3500"/>
    <w:rsid w:val="3128637F"/>
    <w:rsid w:val="3204001F"/>
    <w:rsid w:val="32B93C0E"/>
    <w:rsid w:val="34C63E1E"/>
    <w:rsid w:val="35565623"/>
    <w:rsid w:val="356D7AAE"/>
    <w:rsid w:val="35CF363A"/>
    <w:rsid w:val="3893638B"/>
    <w:rsid w:val="3AA5694E"/>
    <w:rsid w:val="3AA86AEA"/>
    <w:rsid w:val="3F5911C2"/>
    <w:rsid w:val="3F88051D"/>
    <w:rsid w:val="3FA74574"/>
    <w:rsid w:val="40E709B0"/>
    <w:rsid w:val="43460FA3"/>
    <w:rsid w:val="444C4DA7"/>
    <w:rsid w:val="44CC7B8D"/>
    <w:rsid w:val="4751275D"/>
    <w:rsid w:val="49EA7C07"/>
    <w:rsid w:val="4BC23023"/>
    <w:rsid w:val="4CC970FF"/>
    <w:rsid w:val="4EF93E81"/>
    <w:rsid w:val="4EFE39E4"/>
    <w:rsid w:val="4F0B5D83"/>
    <w:rsid w:val="4F8A25D0"/>
    <w:rsid w:val="50DF7D1F"/>
    <w:rsid w:val="52B20F62"/>
    <w:rsid w:val="53162E24"/>
    <w:rsid w:val="533A6A95"/>
    <w:rsid w:val="53A876FC"/>
    <w:rsid w:val="567D0644"/>
    <w:rsid w:val="57413542"/>
    <w:rsid w:val="58406E56"/>
    <w:rsid w:val="591B227C"/>
    <w:rsid w:val="5D25708D"/>
    <w:rsid w:val="5E664384"/>
    <w:rsid w:val="5FA03051"/>
    <w:rsid w:val="5FB47C42"/>
    <w:rsid w:val="6052344A"/>
    <w:rsid w:val="609D7744"/>
    <w:rsid w:val="63634CAF"/>
    <w:rsid w:val="63C35D91"/>
    <w:rsid w:val="63CF1F76"/>
    <w:rsid w:val="63FB5349"/>
    <w:rsid w:val="64224395"/>
    <w:rsid w:val="644B0FAB"/>
    <w:rsid w:val="647E2FE6"/>
    <w:rsid w:val="6514600F"/>
    <w:rsid w:val="661875EF"/>
    <w:rsid w:val="678F588F"/>
    <w:rsid w:val="68420388"/>
    <w:rsid w:val="684378A7"/>
    <w:rsid w:val="6AB56865"/>
    <w:rsid w:val="6DA956AC"/>
    <w:rsid w:val="6E8A7950"/>
    <w:rsid w:val="6EA07106"/>
    <w:rsid w:val="6F3E380B"/>
    <w:rsid w:val="6FCA1077"/>
    <w:rsid w:val="708D5091"/>
    <w:rsid w:val="70FF492A"/>
    <w:rsid w:val="75A31693"/>
    <w:rsid w:val="75ED7D0A"/>
    <w:rsid w:val="76134221"/>
    <w:rsid w:val="76322AFB"/>
    <w:rsid w:val="77C93337"/>
    <w:rsid w:val="786122EC"/>
    <w:rsid w:val="78EE588B"/>
    <w:rsid w:val="79247776"/>
    <w:rsid w:val="798E7A94"/>
    <w:rsid w:val="798F2D97"/>
    <w:rsid w:val="7A89365A"/>
    <w:rsid w:val="7AC82BE2"/>
    <w:rsid w:val="7CCB4E18"/>
    <w:rsid w:val="7CE809B5"/>
    <w:rsid w:val="7D7A6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imes New Roman"/>
      <w:b/>
      <w:bCs/>
      <w:kern w:val="2"/>
      <w:sz w:val="28"/>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7"/>
    <w:unhideWhenUsed/>
    <w:qFormat/>
    <w:uiPriority w:val="99"/>
    <w:rPr>
      <w:sz w:val="18"/>
      <w:szCs w:val="18"/>
    </w:rPr>
  </w:style>
  <w:style w:type="paragraph" w:styleId="3">
    <w:name w:val="footer"/>
    <w:basedOn w:val="1"/>
    <w:link w:val="16"/>
    <w:qFormat/>
    <w:uiPriority w:val="99"/>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5">
    <w:name w:val="Normal (Web)"/>
    <w:basedOn w:val="1"/>
    <w:qFormat/>
    <w:uiPriority w:val="0"/>
    <w:pPr>
      <w:widowControl/>
      <w:spacing w:before="100" w:beforeAutospacing="1" w:after="100" w:afterAutospacing="1"/>
      <w:jc w:val="left"/>
    </w:pPr>
    <w:rPr>
      <w:rFonts w:cs="宋体"/>
      <w:b w:val="0"/>
      <w:bCs w:val="0"/>
      <w:kern w:val="0"/>
      <w:sz w:val="24"/>
    </w:rPr>
  </w:style>
  <w:style w:type="table" w:styleId="7">
    <w:name w:val="Table Grid"/>
    <w:basedOn w:val="6"/>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9">
    <w:name w:val="Strong"/>
    <w:basedOn w:val="8"/>
    <w:qFormat/>
    <w:uiPriority w:val="0"/>
    <w:rPr>
      <w:b/>
    </w:rPr>
  </w:style>
  <w:style w:type="character" w:styleId="10">
    <w:name w:val="Emphasis"/>
    <w:qFormat/>
    <w:uiPriority w:val="0"/>
    <w:rPr>
      <w:i/>
      <w:iCs/>
    </w:rPr>
  </w:style>
  <w:style w:type="character" w:styleId="11">
    <w:name w:val="Hyperlink"/>
    <w:unhideWhenUsed/>
    <w:qFormat/>
    <w:uiPriority w:val="99"/>
    <w:rPr>
      <w:color w:val="0000FF"/>
      <w:u w:val="single"/>
    </w:rPr>
  </w:style>
  <w:style w:type="paragraph" w:customStyle="1" w:styleId="12">
    <w:name w:val="p0"/>
    <w:basedOn w:val="1"/>
    <w:link w:val="14"/>
    <w:qFormat/>
    <w:uiPriority w:val="0"/>
    <w:pPr>
      <w:widowControl/>
    </w:pPr>
    <w:rPr>
      <w:rFonts w:ascii="Times New Roman" w:hAnsi="Times New Roman"/>
      <w:b w:val="0"/>
      <w:bCs w:val="0"/>
      <w:kern w:val="0"/>
      <w:sz w:val="21"/>
      <w:szCs w:val="21"/>
    </w:rPr>
  </w:style>
  <w:style w:type="paragraph" w:customStyle="1" w:styleId="13">
    <w:name w:val="(文字) (文字)"/>
    <w:basedOn w:val="1"/>
    <w:qFormat/>
    <w:uiPriority w:val="0"/>
    <w:pPr>
      <w:widowControl/>
      <w:spacing w:after="160" w:line="240" w:lineRule="exact"/>
      <w:jc w:val="left"/>
    </w:pPr>
    <w:rPr>
      <w:rFonts w:ascii="Tahoma" w:hAnsi="Tahoma" w:eastAsia="Times New Roman" w:cs="Tahoma"/>
      <w:b w:val="0"/>
      <w:bCs w:val="0"/>
      <w:kern w:val="0"/>
      <w:sz w:val="20"/>
      <w:szCs w:val="20"/>
      <w:lang w:eastAsia="en-US"/>
    </w:rPr>
  </w:style>
  <w:style w:type="character" w:customStyle="1" w:styleId="14">
    <w:name w:val="p0 Char"/>
    <w:link w:val="12"/>
    <w:qFormat/>
    <w:uiPriority w:val="0"/>
    <w:rPr>
      <w:sz w:val="21"/>
      <w:szCs w:val="21"/>
    </w:rPr>
  </w:style>
  <w:style w:type="character" w:customStyle="1" w:styleId="15">
    <w:name w:val="apple-converted-space"/>
    <w:qFormat/>
    <w:uiPriority w:val="0"/>
  </w:style>
  <w:style w:type="character" w:customStyle="1" w:styleId="16">
    <w:name w:val="页脚 Char"/>
    <w:basedOn w:val="8"/>
    <w:link w:val="3"/>
    <w:qFormat/>
    <w:locked/>
    <w:uiPriority w:val="99"/>
    <w:rPr>
      <w:rFonts w:ascii="宋体" w:hAnsi="宋体"/>
      <w:b/>
      <w:bCs/>
      <w:kern w:val="2"/>
      <w:sz w:val="18"/>
      <w:szCs w:val="24"/>
    </w:rPr>
  </w:style>
  <w:style w:type="character" w:customStyle="1" w:styleId="17">
    <w:name w:val="批注框文本 Char"/>
    <w:link w:val="2"/>
    <w:semiHidden/>
    <w:qFormat/>
    <w:uiPriority w:val="99"/>
    <w:rPr>
      <w:rFonts w:ascii="宋体" w:hAnsi="宋体"/>
      <w:b/>
      <w:bCs/>
      <w:kern w:val="2"/>
      <w:sz w:val="18"/>
      <w:szCs w:val="18"/>
    </w:rPr>
  </w:style>
  <w:style w:type="character" w:customStyle="1" w:styleId="18">
    <w:name w:val="jd_color"/>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6A12FB-DB21-4FF7-84B1-A46CB074B9F5}">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8</Pages>
  <Words>7298</Words>
  <Characters>7407</Characters>
  <Lines>63</Lines>
  <Paragraphs>17</Paragraphs>
  <TotalTime>41</TotalTime>
  <ScaleCrop>false</ScaleCrop>
  <LinksUpToDate>false</LinksUpToDate>
  <CharactersWithSpaces>7713</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2019-02-09T11:06:00Z</dcterms:created>
  <dc:creator>USER</dc:creator>
  <cp:lastModifiedBy>闽南风康良舒</cp:lastModifiedBy>
  <cp:lastPrinted>2018-10-19T02:40:00Z</cp:lastPrinted>
  <dcterms:modified xsi:type="dcterms:W3CDTF">2019-10-17T06:04:11Z</dcterms:modified>
  <dc:title>迷上厦门———小资风情+鼓浪屿三日游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