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Theme="minorEastAsia"/>
          <w:lang w:eastAsia="zh-CN"/>
        </w:rPr>
        <w:drawing>
          <wp:anchor distT="0" distB="0" distL="114300" distR="114300" simplePos="0" relativeHeight="251682816" behindDoc="1" locked="0" layoutInCell="1" allowOverlap="1">
            <wp:simplePos x="0" y="0"/>
            <wp:positionH relativeFrom="column">
              <wp:posOffset>-1127125</wp:posOffset>
            </wp:positionH>
            <wp:positionV relativeFrom="paragraph">
              <wp:posOffset>-909320</wp:posOffset>
            </wp:positionV>
            <wp:extent cx="7549515" cy="10678795"/>
            <wp:effectExtent l="0" t="0" r="13335" b="8255"/>
            <wp:wrapNone/>
            <wp:docPr id="11" name="图片 11" descr="行摄江西-万载古城双飞6日游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行摄江西-万载古城双飞6日游word"/>
                    <pic:cNvPicPr>
                      <a:picLocks noChangeAspect="1"/>
                    </pic:cNvPicPr>
                  </pic:nvPicPr>
                  <pic:blipFill>
                    <a:blip r:embed="rId4"/>
                    <a:stretch>
                      <a:fillRect/>
                    </a:stretch>
                  </pic:blipFill>
                  <pic:spPr>
                    <a:xfrm>
                      <a:off x="0" y="0"/>
                      <a:ext cx="7549515" cy="10678795"/>
                    </a:xfrm>
                    <a:prstGeom prst="rect">
                      <a:avLst/>
                    </a:prstGeom>
                  </pic:spPr>
                </pic:pic>
              </a:graphicData>
            </a:graphic>
          </wp:anchor>
        </w:drawing>
      </w:r>
    </w:p>
    <w:p>
      <w:pPr>
        <w:rPr>
          <w:rFonts w:hint="eastAsia" w:eastAsiaTheme="minor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Theme="minorEastAsia"/>
          <w:lang w:eastAsia="zh-CN"/>
        </w:rPr>
        <w:drawing>
          <wp:anchor distT="0" distB="0" distL="114300" distR="114300" simplePos="0" relativeHeight="251683840" behindDoc="1" locked="0" layoutInCell="1" allowOverlap="1">
            <wp:simplePos x="0" y="0"/>
            <wp:positionH relativeFrom="column">
              <wp:posOffset>-1142365</wp:posOffset>
            </wp:positionH>
            <wp:positionV relativeFrom="paragraph">
              <wp:posOffset>-901700</wp:posOffset>
            </wp:positionV>
            <wp:extent cx="7561580" cy="10695305"/>
            <wp:effectExtent l="0" t="0" r="1270" b="10795"/>
            <wp:wrapNone/>
            <wp:docPr id="12" name="图片 12" descr="行摄江西-万载古城双飞6日游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行摄江西-万载古城双飞6日游word2"/>
                    <pic:cNvPicPr>
                      <a:picLocks noChangeAspect="1"/>
                    </pic:cNvPicPr>
                  </pic:nvPicPr>
                  <pic:blipFill>
                    <a:blip r:embed="rId5"/>
                    <a:stretch>
                      <a:fillRect/>
                    </a:stretch>
                  </pic:blipFill>
                  <pic:spPr>
                    <a:xfrm>
                      <a:off x="0" y="0"/>
                      <a:ext cx="7561580" cy="10695305"/>
                    </a:xfrm>
                    <a:prstGeom prst="rect">
                      <a:avLst/>
                    </a:prstGeom>
                  </pic:spPr>
                </pic:pic>
              </a:graphicData>
            </a:graphic>
          </wp:anchor>
        </w:drawing>
      </w:r>
    </w:p>
    <w:p>
      <w:pPr>
        <w:rPr>
          <w:rFonts w:hint="eastAsia" w:eastAsiaTheme="minor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Theme="minorEastAsia"/>
          <w:lang w:eastAsia="zh-CN"/>
        </w:rPr>
        <w:drawing>
          <wp:anchor distT="0" distB="0" distL="114300" distR="114300" simplePos="0" relativeHeight="251684864" behindDoc="1" locked="0" layoutInCell="1" allowOverlap="1">
            <wp:simplePos x="0" y="0"/>
            <wp:positionH relativeFrom="column">
              <wp:posOffset>-1131570</wp:posOffset>
            </wp:positionH>
            <wp:positionV relativeFrom="paragraph">
              <wp:posOffset>-899160</wp:posOffset>
            </wp:positionV>
            <wp:extent cx="7554595" cy="10685780"/>
            <wp:effectExtent l="0" t="0" r="8255" b="1270"/>
            <wp:wrapNone/>
            <wp:docPr id="13" name="图片 13" descr="行摄江西-万载古城双飞6日游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行摄江西-万载古城双飞6日游word3"/>
                    <pic:cNvPicPr>
                      <a:picLocks noChangeAspect="1"/>
                    </pic:cNvPicPr>
                  </pic:nvPicPr>
                  <pic:blipFill>
                    <a:blip r:embed="rId6"/>
                    <a:stretch>
                      <a:fillRect/>
                    </a:stretch>
                  </pic:blipFill>
                  <pic:spPr>
                    <a:xfrm>
                      <a:off x="0" y="0"/>
                      <a:ext cx="7554595" cy="10685780"/>
                    </a:xfrm>
                    <a:prstGeom prst="rect">
                      <a:avLst/>
                    </a:prstGeom>
                  </pic:spPr>
                </pic:pic>
              </a:graphicData>
            </a:graphic>
          </wp:anchor>
        </w:drawing>
      </w:r>
    </w:p>
    <w:tbl>
      <w:tblPr>
        <w:tblStyle w:val="3"/>
        <w:tblW w:w="9231"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693"/>
        <w:gridCol w:w="7500"/>
        <w:gridCol w:w="570"/>
        <w:gridCol w:w="468"/>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1679" w:hRule="atLeast"/>
        </w:trPr>
        <w:tc>
          <w:tcPr>
            <w:tcW w:w="693" w:type="dxa"/>
            <w:tcBorders>
              <w:top w:val="single" w:color="4BACC6" w:sz="8" w:space="0"/>
              <w:left w:val="single" w:color="4BACC6" w:sz="8" w:space="0"/>
              <w:bottom w:val="single" w:color="FFFFFF" w:sz="18" w:space="0"/>
              <w:right w:val="single" w:color="4BACC6" w:sz="8" w:space="0"/>
            </w:tcBorders>
            <w:shd w:val="clear" w:color="auto" w:fill="4BACC6"/>
            <w:noWrap w:val="0"/>
            <w:vAlign w:val="top"/>
          </w:tcPr>
          <w:p>
            <w:pPr>
              <w:rPr>
                <w:rFonts w:hint="eastAsia" w:ascii="微软雅黑" w:hAnsi="微软雅黑" w:eastAsia="微软雅黑"/>
                <w:color w:val="FFFFFF"/>
                <w:sz w:val="21"/>
                <w:szCs w:val="21"/>
                <w:lang w:eastAsia="zh-CN"/>
              </w:rPr>
            </w:pPr>
            <w:r>
              <w:rPr>
                <w:rFonts w:hint="eastAsia" w:ascii="微软雅黑" w:hAnsi="微软雅黑" w:eastAsia="微软雅黑"/>
                <w:color w:val="FFFFFF"/>
                <w:sz w:val="21"/>
                <w:szCs w:val="21"/>
                <w:lang w:eastAsia="zh-CN"/>
              </w:rPr>
              <w:drawing>
                <wp:anchor distT="0" distB="0" distL="114300" distR="114300" simplePos="0" relativeHeight="251685888" behindDoc="1" locked="0" layoutInCell="1" allowOverlap="1">
                  <wp:simplePos x="0" y="0"/>
                  <wp:positionH relativeFrom="column">
                    <wp:posOffset>-928370</wp:posOffset>
                  </wp:positionH>
                  <wp:positionV relativeFrom="paragraph">
                    <wp:posOffset>-728980</wp:posOffset>
                  </wp:positionV>
                  <wp:extent cx="7566660" cy="10699750"/>
                  <wp:effectExtent l="0" t="0" r="15240" b="6350"/>
                  <wp:wrapNone/>
                  <wp:docPr id="14" name="图片 14"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行摄江西-万载古城双飞6日游word31"/>
                          <pic:cNvPicPr>
                            <a:picLocks noChangeAspect="1"/>
                          </pic:cNvPicPr>
                        </pic:nvPicPr>
                        <pic:blipFill>
                          <a:blip r:embed="rId7"/>
                          <a:stretch>
                            <a:fillRect/>
                          </a:stretch>
                        </pic:blipFill>
                        <pic:spPr>
                          <a:xfrm>
                            <a:off x="0" y="0"/>
                            <a:ext cx="7566660" cy="10699750"/>
                          </a:xfrm>
                          <a:prstGeom prst="rect">
                            <a:avLst/>
                          </a:prstGeom>
                        </pic:spPr>
                      </pic:pic>
                    </a:graphicData>
                  </a:graphic>
                </wp:anchor>
              </w:drawing>
            </w:r>
            <w:r>
              <w:rPr>
                <w:rFonts w:hint="eastAsia" w:ascii="微软雅黑" w:hAnsi="微软雅黑" w:eastAsia="微软雅黑"/>
                <w:color w:val="FFFFFF"/>
                <w:sz w:val="21"/>
                <w:szCs w:val="21"/>
              </w:rPr>
              <w:t>日期</w:t>
            </w:r>
          </w:p>
        </w:tc>
        <w:tc>
          <w:tcPr>
            <w:tcW w:w="7500" w:type="dxa"/>
            <w:tcBorders>
              <w:top w:val="single" w:color="4BACC6" w:sz="8" w:space="0"/>
              <w:left w:val="single" w:color="4BACC6" w:sz="8" w:space="0"/>
              <w:bottom w:val="single" w:color="FFFFFF" w:sz="18" w:space="0"/>
              <w:right w:val="single" w:color="4BACC6" w:sz="8" w:space="0"/>
            </w:tcBorders>
            <w:shd w:val="clear" w:color="auto" w:fill="4BACC6"/>
            <w:noWrap w:val="0"/>
            <w:vAlign w:val="top"/>
          </w:tcPr>
          <w:p>
            <w:pPr>
              <w:rPr>
                <w:rFonts w:hint="eastAsia" w:ascii="微软雅黑" w:hAnsi="微软雅黑" w:eastAsia="微软雅黑"/>
                <w:color w:val="FFFFFF"/>
                <w:sz w:val="21"/>
                <w:szCs w:val="21"/>
              </w:rPr>
            </w:pPr>
            <w:r>
              <w:rPr>
                <w:rFonts w:hint="eastAsia" w:ascii="微软雅黑" w:hAnsi="微软雅黑" w:eastAsia="微软雅黑"/>
                <w:color w:val="FFFFFF"/>
                <w:sz w:val="21"/>
                <w:szCs w:val="21"/>
              </w:rPr>
              <w:t>行 程 内 容（以下游览先后顺序我社可根据实际情况作出合理调整！）</w:t>
            </w:r>
          </w:p>
        </w:tc>
        <w:tc>
          <w:tcPr>
            <w:tcW w:w="570" w:type="dxa"/>
            <w:tcBorders>
              <w:top w:val="single" w:color="4BACC6" w:sz="8" w:space="0"/>
              <w:left w:val="single" w:color="4BACC6" w:sz="8" w:space="0"/>
              <w:bottom w:val="single" w:color="FFFFFF" w:sz="18" w:space="0"/>
              <w:right w:val="single" w:color="4BACC6" w:sz="8" w:space="0"/>
            </w:tcBorders>
            <w:shd w:val="clear" w:color="auto" w:fill="4BACC6"/>
            <w:noWrap w:val="0"/>
            <w:vAlign w:val="center"/>
          </w:tcPr>
          <w:p>
            <w:pPr>
              <w:spacing w:line="280" w:lineRule="exact"/>
              <w:ind w:firstLine="90" w:firstLineChars="50"/>
              <w:jc w:val="center"/>
              <w:rPr>
                <w:rFonts w:hint="eastAsia" w:ascii="宋体" w:hAnsi="宋体"/>
                <w:b/>
                <w:color w:val="FFFF00"/>
                <w:sz w:val="18"/>
                <w:szCs w:val="18"/>
                <w:lang w:eastAsia="zh-CN"/>
              </w:rPr>
            </w:pPr>
            <w:r>
              <w:rPr>
                <w:rFonts w:hint="eastAsia" w:ascii="宋体" w:hAnsi="宋体"/>
                <w:b/>
                <w:color w:val="FFFF00"/>
                <w:sz w:val="18"/>
                <w:szCs w:val="18"/>
                <w:lang w:eastAsia="zh-CN"/>
              </w:rPr>
              <w:t>供餐</w:t>
            </w:r>
          </w:p>
        </w:tc>
        <w:tc>
          <w:tcPr>
            <w:tcW w:w="468" w:type="dxa"/>
            <w:tcBorders>
              <w:top w:val="single" w:color="4BACC6" w:sz="8" w:space="0"/>
              <w:left w:val="single" w:color="4BACC6" w:sz="8" w:space="0"/>
              <w:bottom w:val="single" w:color="FFFFFF" w:sz="18" w:space="0"/>
              <w:right w:val="single" w:color="4BACC6" w:sz="8" w:space="0"/>
            </w:tcBorders>
            <w:shd w:val="clear" w:color="auto" w:fill="4BACC6"/>
            <w:noWrap w:val="0"/>
            <w:vAlign w:val="center"/>
          </w:tcPr>
          <w:p>
            <w:pPr>
              <w:spacing w:line="280" w:lineRule="exact"/>
              <w:jc w:val="center"/>
              <w:rPr>
                <w:rFonts w:hint="eastAsia" w:ascii="宋体" w:hAnsi="宋体"/>
                <w:b/>
                <w:color w:val="FFFF00"/>
                <w:sz w:val="18"/>
                <w:szCs w:val="18"/>
                <w:lang w:eastAsia="zh-CN"/>
              </w:rPr>
            </w:pPr>
            <w:r>
              <w:rPr>
                <w:rFonts w:hint="eastAsia" w:ascii="宋体" w:hAnsi="宋体"/>
                <w:b/>
                <w:color w:val="FFFF00"/>
                <w:sz w:val="18"/>
                <w:szCs w:val="18"/>
                <w:lang w:eastAsia="zh-CN"/>
              </w:rPr>
              <w:t>住宿</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541" w:hRule="atLeast"/>
        </w:trPr>
        <w:tc>
          <w:tcPr>
            <w:tcW w:w="693" w:type="dxa"/>
            <w:tcBorders>
              <w:top w:val="single" w:color="FFFFFF" w:sz="1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D1</w:t>
            </w:r>
          </w:p>
        </w:tc>
        <w:tc>
          <w:tcPr>
            <w:tcW w:w="7500" w:type="dxa"/>
            <w:tcBorders>
              <w:top w:val="single" w:color="FFFFFF" w:sz="1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昆明出发赴江西南昌，导游接团后 入住酒店</w:t>
            </w:r>
          </w:p>
        </w:tc>
        <w:tc>
          <w:tcPr>
            <w:tcW w:w="570" w:type="dxa"/>
            <w:tcBorders>
              <w:top w:val="single" w:color="FFFFFF" w:sz="18" w:space="0"/>
              <w:left w:val="single" w:color="4BACC6" w:sz="8" w:space="0"/>
              <w:bottom w:val="single" w:color="4BACC6" w:sz="8" w:space="0"/>
              <w:right w:val="single" w:color="4BACC6" w:sz="8" w:space="0"/>
            </w:tcBorders>
            <w:shd w:val="clear" w:color="auto" w:fill="B7DDE8"/>
            <w:noWrap w:val="0"/>
            <w:vAlign w:val="center"/>
          </w:tcPr>
          <w:p>
            <w:pPr>
              <w:spacing w:line="28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无</w:t>
            </w:r>
          </w:p>
        </w:tc>
        <w:tc>
          <w:tcPr>
            <w:tcW w:w="468" w:type="dxa"/>
            <w:tcBorders>
              <w:top w:val="single" w:color="FFFFFF" w:sz="18" w:space="0"/>
              <w:left w:val="single" w:color="4BACC6" w:sz="8" w:space="0"/>
              <w:bottom w:val="single" w:color="4BACC6" w:sz="8" w:space="0"/>
              <w:right w:val="single" w:color="4BACC6" w:sz="8" w:space="0"/>
            </w:tcBorders>
            <w:shd w:val="clear" w:color="auto" w:fill="B7DDE8"/>
            <w:noWrap w:val="0"/>
            <w:vAlign w:val="center"/>
          </w:tcPr>
          <w:p>
            <w:pPr>
              <w:spacing w:line="280" w:lineRule="exact"/>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南昌</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701"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D2</w:t>
            </w:r>
          </w:p>
        </w:tc>
        <w:tc>
          <w:tcPr>
            <w:tcW w:w="750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早餐后，前往中国古代著名佛教胜——</w:t>
            </w:r>
            <w:r>
              <w:rPr>
                <w:rFonts w:hint="eastAsia" w:ascii="微软雅黑" w:hAnsi="微软雅黑" w:eastAsia="微软雅黑"/>
                <w:b/>
                <w:bCs/>
                <w:color w:val="000000"/>
                <w:sz w:val="21"/>
                <w:szCs w:val="21"/>
              </w:rPr>
              <w:t>【明月山仰山】</w:t>
            </w:r>
            <w:r>
              <w:rPr>
                <w:rFonts w:hint="eastAsia" w:ascii="微软雅黑" w:hAnsi="微软雅黑" w:eastAsia="微软雅黑"/>
                <w:color w:val="000000"/>
                <w:sz w:val="21"/>
                <w:szCs w:val="21"/>
              </w:rPr>
              <w:t>（3.5小时车程）， 参观佛教七大禅宗之―、伪仰宗的发源地——</w:t>
            </w:r>
            <w:r>
              <w:rPr>
                <w:rFonts w:hint="eastAsia" w:ascii="微软雅黑" w:hAnsi="微软雅黑" w:eastAsia="微软雅黑"/>
                <w:b/>
                <w:bCs/>
                <w:color w:val="000000"/>
                <w:sz w:val="21"/>
                <w:szCs w:val="21"/>
              </w:rPr>
              <w:t>【明月山仰山栖隐禅寺】</w:t>
            </w:r>
            <w:r>
              <w:rPr>
                <w:rFonts w:hint="eastAsia" w:ascii="微软雅黑" w:hAnsi="微软雅黑" w:eastAsia="微软雅黑"/>
                <w:color w:val="000000"/>
                <w:sz w:val="21"/>
                <w:szCs w:val="21"/>
              </w:rPr>
              <w:t>（游览1个小时左右），在这群山围绕酷似莲花座中，观赏祥云绕宝刹、钟磬答乘晨暮的祥和景象，感受这一方人间净土；其遗址位于宜春市袁州区洪江乡东南村殿上组，唐朝会昌年间（842年），沩仰宗的创始人慧寂禅师由沩山来到仰山，在此创建弘法道场。不知道当地人的长寿和圣水是否是有了佛祖的庇佑呢？</w:t>
            </w:r>
            <w:r>
              <w:rPr>
                <w:rFonts w:hint="eastAsia" w:ascii="微软雅黑" w:hAnsi="微软雅黑" w:eastAsia="微软雅黑"/>
                <w:b/>
                <w:bCs/>
                <w:color w:val="000000"/>
                <w:sz w:val="21"/>
                <w:szCs w:val="21"/>
              </w:rPr>
              <w:t>【袁山公园】</w:t>
            </w:r>
            <w:r>
              <w:rPr>
                <w:rFonts w:hint="eastAsia" w:ascii="微软雅黑" w:hAnsi="微软雅黑" w:eastAsia="微软雅黑"/>
                <w:color w:val="000000"/>
                <w:sz w:val="21"/>
                <w:szCs w:val="21"/>
              </w:rPr>
              <w:t>（游览约40分钟左右）公园规划建设按照突出自然生态特色、体现历史文化底蕴、满足不同层次人们的休闲娱乐需求的总体思路，建成自然风景美、文化品位高、富有个性特色的综合性城市中心公园。参观</w:t>
            </w:r>
            <w:r>
              <w:rPr>
                <w:rFonts w:hint="eastAsia" w:ascii="微软雅黑" w:hAnsi="微软雅黑" w:eastAsia="微软雅黑"/>
                <w:b/>
                <w:bCs/>
                <w:color w:val="000000"/>
                <w:sz w:val="21"/>
                <w:szCs w:val="21"/>
              </w:rPr>
              <w:t>【千年温泉古井】(赠送木桶泡脚)</w:t>
            </w:r>
            <w:r>
              <w:rPr>
                <w:rFonts w:hint="eastAsia" w:ascii="微软雅黑" w:hAnsi="微软雅黑" w:eastAsia="微软雅黑"/>
                <w:color w:val="000000"/>
                <w:sz w:val="21"/>
                <w:szCs w:val="21"/>
              </w:rPr>
              <w:t>明月山温泉，因富硒温泉而闻名，其温泉日出水量3700吨，水温常年保持在68℃――72℃，具有低矿化度、低钠、偏硅酸含量高等特点，含有近20种对人体十分有益的微量元素，具有防癌抑癌等保健作用与此同时温汤镇也是世界上独一无二的一个无癌村。可与当地居民一起泡脚，感受“人来了就不想走的”小镇迷人魅力。漫步古井泉街。</w:t>
            </w:r>
          </w:p>
        </w:tc>
        <w:tc>
          <w:tcPr>
            <w:tcW w:w="57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4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早中晚</w:t>
            </w:r>
          </w:p>
        </w:tc>
        <w:tc>
          <w:tcPr>
            <w:tcW w:w="468"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4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温汤</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6371" w:hRule="atLeast"/>
        </w:trPr>
        <w:tc>
          <w:tcPr>
            <w:tcW w:w="693"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drawing>
                <wp:anchor distT="0" distB="0" distL="114300" distR="114300" simplePos="0" relativeHeight="251686912" behindDoc="1" locked="0" layoutInCell="1" allowOverlap="1">
                  <wp:simplePos x="0" y="0"/>
                  <wp:positionH relativeFrom="column">
                    <wp:posOffset>-918210</wp:posOffset>
                  </wp:positionH>
                  <wp:positionV relativeFrom="paragraph">
                    <wp:posOffset>-711200</wp:posOffset>
                  </wp:positionV>
                  <wp:extent cx="7549515" cy="10678795"/>
                  <wp:effectExtent l="0" t="0" r="13335" b="8255"/>
                  <wp:wrapNone/>
                  <wp:docPr id="15" name="图片 15"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行摄江西-万载古城双飞6日游word31"/>
                          <pic:cNvPicPr>
                            <a:picLocks noChangeAspect="1"/>
                          </pic:cNvPicPr>
                        </pic:nvPicPr>
                        <pic:blipFill>
                          <a:blip r:embed="rId7"/>
                          <a:stretch>
                            <a:fillRect/>
                          </a:stretch>
                        </pic:blipFill>
                        <pic:spPr>
                          <a:xfrm>
                            <a:off x="0" y="0"/>
                            <a:ext cx="7549515" cy="10678795"/>
                          </a:xfrm>
                          <a:prstGeom prst="rect">
                            <a:avLst/>
                          </a:prstGeom>
                        </pic:spPr>
                      </pic:pic>
                    </a:graphicData>
                  </a:graphic>
                </wp:anchor>
              </w:drawing>
            </w:r>
            <w:r>
              <w:rPr>
                <w:rFonts w:hint="eastAsia" w:ascii="微软雅黑" w:hAnsi="微软雅黑" w:eastAsia="微软雅黑"/>
                <w:color w:val="000000"/>
                <w:sz w:val="21"/>
                <w:szCs w:val="21"/>
              </w:rPr>
              <w:t>D3</w:t>
            </w:r>
          </w:p>
        </w:tc>
        <w:tc>
          <w:tcPr>
            <w:tcW w:w="7500"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赴国家5A景区</w:t>
            </w:r>
            <w:r>
              <w:rPr>
                <w:rFonts w:hint="eastAsia" w:ascii="微软雅黑" w:hAnsi="微软雅黑" w:eastAsia="微软雅黑"/>
                <w:b/>
                <w:bCs/>
                <w:color w:val="000000"/>
                <w:sz w:val="21"/>
                <w:szCs w:val="21"/>
              </w:rPr>
              <w:t>【明月山】</w:t>
            </w:r>
            <w:r>
              <w:rPr>
                <w:rFonts w:hint="eastAsia" w:ascii="微软雅黑" w:hAnsi="微软雅黑" w:eastAsia="微软雅黑"/>
                <w:color w:val="000000"/>
                <w:sz w:val="21"/>
                <w:szCs w:val="21"/>
              </w:rPr>
              <w:t>（门票赠送）（游览约4小时）明月山以竹海、松涛、飞瀑、温泉闻名遐迩，又因月亮文化秀出中华大地。经</w:t>
            </w:r>
            <w:r>
              <w:rPr>
                <w:rFonts w:hint="eastAsia" w:ascii="微软雅黑" w:hAnsi="微软雅黑" w:eastAsia="微软雅黑"/>
                <w:b/>
                <w:bCs/>
                <w:color w:val="000000"/>
                <w:sz w:val="21"/>
                <w:szCs w:val="21"/>
              </w:rPr>
              <w:t>【竹林月影】</w:t>
            </w:r>
            <w:r>
              <w:rPr>
                <w:rFonts w:hint="eastAsia" w:ascii="微软雅黑" w:hAnsi="微软雅黑" w:eastAsia="微软雅黑"/>
                <w:color w:val="000000"/>
                <w:sz w:val="21"/>
                <w:szCs w:val="21"/>
              </w:rPr>
              <w:t>、</w:t>
            </w:r>
            <w:r>
              <w:rPr>
                <w:rFonts w:hint="eastAsia" w:ascii="微软雅黑" w:hAnsi="微软雅黑" w:eastAsia="微软雅黑"/>
                <w:b/>
                <w:bCs/>
                <w:color w:val="000000"/>
                <w:sz w:val="21"/>
                <w:szCs w:val="21"/>
              </w:rPr>
              <w:t>【朱熹诗亭】</w:t>
            </w:r>
            <w:r>
              <w:rPr>
                <w:rFonts w:hint="eastAsia" w:ascii="微软雅黑" w:hAnsi="微软雅黑" w:eastAsia="微软雅黑"/>
                <w:color w:val="000000"/>
                <w:sz w:val="21"/>
                <w:szCs w:val="21"/>
              </w:rPr>
              <w:t>、</w:t>
            </w:r>
            <w:r>
              <w:rPr>
                <w:rFonts w:hint="eastAsia" w:ascii="微软雅黑" w:hAnsi="微软雅黑" w:eastAsia="微软雅黑"/>
                <w:b/>
                <w:bCs/>
                <w:color w:val="000000"/>
                <w:sz w:val="21"/>
                <w:szCs w:val="21"/>
              </w:rPr>
              <w:t>【六龟拜月】</w:t>
            </w:r>
            <w:r>
              <w:rPr>
                <w:rFonts w:hint="eastAsia" w:ascii="微软雅黑" w:hAnsi="微软雅黑" w:eastAsia="微软雅黑"/>
                <w:color w:val="000000"/>
                <w:sz w:val="21"/>
                <w:szCs w:val="21"/>
              </w:rPr>
              <w:t>，客人可步行上山也可</w:t>
            </w:r>
            <w:r>
              <w:rPr>
                <w:rFonts w:hint="eastAsia" w:ascii="微软雅黑" w:hAnsi="微软雅黑" w:eastAsia="微软雅黑"/>
                <w:color w:val="FF0000"/>
                <w:sz w:val="21"/>
                <w:szCs w:val="21"/>
              </w:rPr>
              <w:t>（</w:t>
            </w:r>
            <w:r>
              <w:rPr>
                <w:rFonts w:hint="eastAsia" w:ascii="微软雅黑" w:hAnsi="微软雅黑" w:eastAsia="微软雅黑"/>
                <w:color w:val="FF0000"/>
                <w:sz w:val="21"/>
                <w:szCs w:val="21"/>
                <w:lang w:eastAsia="zh-CN"/>
              </w:rPr>
              <w:t>自理</w:t>
            </w:r>
            <w:r>
              <w:rPr>
                <w:rFonts w:hint="eastAsia" w:ascii="微软雅黑" w:hAnsi="微软雅黑" w:eastAsia="微软雅黑"/>
                <w:color w:val="FF0000"/>
                <w:sz w:val="21"/>
                <w:szCs w:val="21"/>
              </w:rPr>
              <w:t>上行缆车上山80元/人）</w:t>
            </w:r>
            <w:r>
              <w:rPr>
                <w:rFonts w:hint="eastAsia" w:ascii="微软雅黑" w:hAnsi="微软雅黑" w:eastAsia="微软雅黑"/>
                <w:color w:val="000000"/>
                <w:sz w:val="21"/>
                <w:szCs w:val="21"/>
              </w:rPr>
              <w:t>，欣赏人间仙境，高山湖—</w:t>
            </w:r>
            <w:r>
              <w:rPr>
                <w:rFonts w:hint="eastAsia" w:ascii="微软雅黑" w:hAnsi="微软雅黑" w:eastAsia="微软雅黑"/>
                <w:b/>
                <w:bCs/>
                <w:color w:val="000000"/>
                <w:sz w:val="21"/>
                <w:szCs w:val="21"/>
              </w:rPr>
              <w:t>【月亮湖】</w:t>
            </w:r>
            <w:r>
              <w:rPr>
                <w:rFonts w:hint="eastAsia" w:ascii="微软雅黑" w:hAnsi="微软雅黑" w:eastAsia="微软雅黑"/>
                <w:color w:val="000000"/>
                <w:sz w:val="21"/>
                <w:szCs w:val="21"/>
              </w:rPr>
              <w:t>：后参观光怪陆离的</w:t>
            </w:r>
            <w:r>
              <w:rPr>
                <w:rFonts w:hint="eastAsia" w:ascii="微软雅黑" w:hAnsi="微软雅黑" w:eastAsia="微软雅黑"/>
                <w:b/>
                <w:bCs/>
                <w:color w:val="000000"/>
                <w:sz w:val="21"/>
                <w:szCs w:val="21"/>
              </w:rPr>
              <w:t>【星月洞】</w:t>
            </w:r>
            <w:r>
              <w:rPr>
                <w:rFonts w:hint="eastAsia" w:ascii="微软雅黑" w:hAnsi="微软雅黑" w:eastAsia="微软雅黑"/>
                <w:color w:val="000000"/>
                <w:sz w:val="21"/>
                <w:szCs w:val="21"/>
              </w:rPr>
              <w:t>到达“中国第七险俊高空栈道”——</w:t>
            </w:r>
            <w:r>
              <w:rPr>
                <w:rFonts w:hint="eastAsia" w:ascii="微软雅黑" w:hAnsi="微软雅黑" w:eastAsia="微软雅黑"/>
                <w:b/>
                <w:bCs/>
                <w:color w:val="000000"/>
                <w:sz w:val="21"/>
                <w:szCs w:val="21"/>
              </w:rPr>
              <w:t>【青云栈道】</w:t>
            </w:r>
            <w:r>
              <w:rPr>
                <w:rFonts w:hint="eastAsia" w:ascii="微软雅黑" w:hAnsi="微软雅黑" w:eastAsia="微软雅黑"/>
                <w:color w:val="000000"/>
                <w:sz w:val="21"/>
                <w:szCs w:val="21"/>
              </w:rPr>
              <w:t>（位于海拔1560米的明月山顶，，因常年云雾缭绕，行走之上，有平步青云之感，故名青云栈道），可步行下山也可</w:t>
            </w:r>
            <w:r>
              <w:rPr>
                <w:rFonts w:hint="eastAsia" w:ascii="微软雅黑" w:hAnsi="微软雅黑" w:eastAsia="微软雅黑"/>
                <w:color w:val="FF0000"/>
                <w:sz w:val="21"/>
                <w:szCs w:val="21"/>
              </w:rPr>
              <w:t>（</w:t>
            </w:r>
            <w:r>
              <w:rPr>
                <w:rFonts w:hint="eastAsia" w:ascii="微软雅黑" w:hAnsi="微软雅黑" w:eastAsia="微软雅黑"/>
                <w:color w:val="FF0000"/>
                <w:sz w:val="21"/>
                <w:szCs w:val="21"/>
                <w:lang w:eastAsia="zh-CN"/>
              </w:rPr>
              <w:t>自理</w:t>
            </w:r>
            <w:r>
              <w:rPr>
                <w:rFonts w:hint="eastAsia" w:ascii="微软雅黑" w:hAnsi="微软雅黑" w:eastAsia="微软雅黑"/>
                <w:color w:val="FF0000"/>
                <w:sz w:val="21"/>
                <w:szCs w:val="21"/>
              </w:rPr>
              <w:t>下行缆车下山70元/人）</w:t>
            </w:r>
            <w:r>
              <w:rPr>
                <w:rFonts w:hint="eastAsia" w:ascii="微软雅黑" w:hAnsi="微软雅黑" w:eastAsia="微软雅黑"/>
                <w:color w:val="000000"/>
                <w:sz w:val="21"/>
                <w:szCs w:val="21"/>
              </w:rPr>
              <w:t>乘下行缆车至索道中站，从索道中站再步行下山，沿途游览明月山【飞练瀑】，【玉龙瀑】、【鱼鳞瀑】、【月下老人】、【云谷飞瀑】、【玲珑瀑】、【晃月桥】等景点、充分感受“天然氧吧”给你带来的新鲜空气。</w:t>
            </w:r>
          </w:p>
        </w:tc>
        <w:tc>
          <w:tcPr>
            <w:tcW w:w="570"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24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早/晚</w:t>
            </w:r>
          </w:p>
        </w:tc>
        <w:tc>
          <w:tcPr>
            <w:tcW w:w="468"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24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温汤</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985"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D4</w:t>
            </w:r>
          </w:p>
        </w:tc>
        <w:tc>
          <w:tcPr>
            <w:tcW w:w="750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乘车赴</w:t>
            </w:r>
            <w:r>
              <w:rPr>
                <w:rFonts w:hint="eastAsia" w:ascii="微软雅黑" w:hAnsi="微软雅黑" w:eastAsia="微软雅黑"/>
                <w:b/>
                <w:bCs/>
                <w:color w:val="000000"/>
                <w:sz w:val="21"/>
                <w:szCs w:val="21"/>
              </w:rPr>
              <w:t>【武功山风景名胜区】</w:t>
            </w:r>
            <w:r>
              <w:rPr>
                <w:rFonts w:hint="eastAsia" w:ascii="微软雅黑" w:hAnsi="微软雅黑" w:eastAsia="微软雅黑"/>
                <w:color w:val="000000"/>
                <w:sz w:val="21"/>
                <w:szCs w:val="21"/>
              </w:rPr>
              <w:t>（门票赠送，车程约1.5个小时），武功山属罗霄山脉北段，绵延120公里，总面积260余平方公里。主峰白鹤峰(金顶)海拔1918.3米，为江西第一高峰。被专家概括为“山景雄秀、瀑布独特、草甸奇观、生态优良、天象称奇、人文荟萃”。现已规划面积160平方公里，规划景点200余处，自然形成了“峰、洞、瀑、石、云、松、寺”齐备的山色风光。抵达景区后进山门，参观石鼓寺，乘一级索道上山(10分钟，自理)，步行体验惊险刺激的全长1000多米的高空栈道，观武功山奇松怪石石林风光，高空悬索桥、高空栈道（1个小时左右），再徒步半小时后乘坐二级索道金顶到达金顶（自理，约8分钟），观赏10万亩高山草甸绵绵于海拔1600多米的高山之巅与巍峨山势相映成辉，堪称天下无双；峰顶神秘的古祭坛群距今已有1700多年的历史，被誉为华夏一绝；气势恢宏的高山瀑布群、云海日出、穿云石笋，奇特的怪石古松、峰林地貌和保存完好的原始森林、等景观令游人叹为观止！乘索道下山（一级二级索道自理）</w:t>
            </w:r>
          </w:p>
          <w:p>
            <w:pPr>
              <w:rPr>
                <w:rFonts w:hint="eastAsia" w:ascii="微软雅黑" w:hAnsi="微软雅黑" w:eastAsia="微软雅黑"/>
                <w:color w:val="000000"/>
                <w:sz w:val="21"/>
                <w:szCs w:val="21"/>
              </w:rPr>
            </w:pPr>
            <w:r>
              <w:rPr>
                <w:rFonts w:hint="eastAsia" w:ascii="微软雅黑" w:hAnsi="微软雅黑" w:eastAsia="微软雅黑"/>
                <w:color w:val="FF0000"/>
                <w:sz w:val="21"/>
                <w:szCs w:val="21"/>
              </w:rPr>
              <w:drawing>
                <wp:anchor distT="0" distB="0" distL="114300" distR="114300" simplePos="0" relativeHeight="251687936" behindDoc="1" locked="0" layoutInCell="1" allowOverlap="1">
                  <wp:simplePos x="0" y="0"/>
                  <wp:positionH relativeFrom="column">
                    <wp:posOffset>-1369060</wp:posOffset>
                  </wp:positionH>
                  <wp:positionV relativeFrom="paragraph">
                    <wp:posOffset>-719455</wp:posOffset>
                  </wp:positionV>
                  <wp:extent cx="7561580" cy="10695940"/>
                  <wp:effectExtent l="0" t="0" r="1270" b="10160"/>
                  <wp:wrapNone/>
                  <wp:docPr id="16" name="图片 16"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行摄江西-万载古城双飞6日游word31"/>
                          <pic:cNvPicPr>
                            <a:picLocks noChangeAspect="1"/>
                          </pic:cNvPicPr>
                        </pic:nvPicPr>
                        <pic:blipFill>
                          <a:blip r:embed="rId7"/>
                          <a:stretch>
                            <a:fillRect/>
                          </a:stretch>
                        </pic:blipFill>
                        <pic:spPr>
                          <a:xfrm>
                            <a:off x="0" y="0"/>
                            <a:ext cx="7561580" cy="10695940"/>
                          </a:xfrm>
                          <a:prstGeom prst="rect">
                            <a:avLst/>
                          </a:prstGeom>
                        </pic:spPr>
                      </pic:pic>
                    </a:graphicData>
                  </a:graphic>
                </wp:anchor>
              </w:drawing>
            </w:r>
            <w:r>
              <w:rPr>
                <w:rFonts w:hint="eastAsia" w:ascii="微软雅黑" w:hAnsi="微软雅黑" w:eastAsia="微软雅黑"/>
                <w:color w:val="FF0000"/>
                <w:sz w:val="21"/>
                <w:szCs w:val="21"/>
              </w:rPr>
              <w:t>（备注：索道上行一级50+二级35自理   索道下行一级35+二级25自理）</w:t>
            </w:r>
          </w:p>
        </w:tc>
        <w:tc>
          <w:tcPr>
            <w:tcW w:w="57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早/晚</w:t>
            </w: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p>
            <w:pPr>
              <w:spacing w:line="280" w:lineRule="exact"/>
              <w:rPr>
                <w:rFonts w:hint="eastAsia" w:ascii="微软雅黑" w:hAnsi="微软雅黑" w:eastAsia="微软雅黑" w:cs="微软雅黑"/>
                <w:b/>
                <w:color w:val="000000"/>
                <w:sz w:val="21"/>
                <w:szCs w:val="21"/>
                <w:lang w:eastAsia="zh-CN"/>
              </w:rPr>
            </w:pPr>
          </w:p>
        </w:tc>
        <w:tc>
          <w:tcPr>
            <w:tcW w:w="468"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80" w:lineRule="exact"/>
              <w:jc w:val="both"/>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温汤</w:t>
            </w:r>
          </w:p>
          <w:p>
            <w:pPr>
              <w:spacing w:line="280" w:lineRule="exact"/>
              <w:jc w:val="center"/>
              <w:rPr>
                <w:rFonts w:hint="eastAsia" w:ascii="微软雅黑" w:hAnsi="微软雅黑" w:eastAsia="微软雅黑" w:cs="微软雅黑"/>
                <w:b/>
                <w:color w:val="000000"/>
                <w:sz w:val="21"/>
                <w:szCs w:val="21"/>
                <w:lang w:eastAsia="zh-CN"/>
              </w:rPr>
            </w:pPr>
          </w:p>
          <w:p>
            <w:pPr>
              <w:spacing w:line="280" w:lineRule="exact"/>
              <w:jc w:val="both"/>
              <w:rPr>
                <w:rFonts w:hint="eastAsia" w:ascii="微软雅黑" w:hAnsi="微软雅黑" w:eastAsia="微软雅黑" w:cs="微软雅黑"/>
                <w:b/>
                <w:color w:val="000000"/>
                <w:sz w:val="21"/>
                <w:szCs w:val="21"/>
                <w:lang w:val="en-US" w:eastAsia="zh-CN"/>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1627" w:hRule="atLeast"/>
        </w:trPr>
        <w:tc>
          <w:tcPr>
            <w:tcW w:w="693"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D5</w:t>
            </w:r>
          </w:p>
        </w:tc>
        <w:tc>
          <w:tcPr>
            <w:tcW w:w="7500"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早餐后，参观</w:t>
            </w:r>
            <w:r>
              <w:rPr>
                <w:rFonts w:hint="eastAsia" w:ascii="微软雅黑" w:hAnsi="微软雅黑" w:eastAsia="微软雅黑"/>
                <w:b/>
                <w:bCs/>
                <w:color w:val="000000"/>
                <w:sz w:val="21"/>
                <w:szCs w:val="21"/>
              </w:rPr>
              <w:t>【万载古城】</w:t>
            </w:r>
            <w:r>
              <w:rPr>
                <w:rFonts w:hint="eastAsia" w:ascii="微软雅黑" w:hAnsi="微软雅黑" w:eastAsia="微软雅黑"/>
                <w:color w:val="000000"/>
                <w:sz w:val="21"/>
                <w:szCs w:val="21"/>
              </w:rPr>
              <w:t xml:space="preserve">AAAA景区 </w:t>
            </w:r>
            <w:r>
              <w:rPr>
                <w:rFonts w:hint="eastAsia" w:ascii="微软雅黑" w:hAnsi="微软雅黑" w:eastAsia="微软雅黑"/>
                <w:b/>
                <w:bCs/>
                <w:color w:val="000000"/>
                <w:sz w:val="21"/>
                <w:szCs w:val="21"/>
              </w:rPr>
              <w:t>【万载田下古城】</w:t>
            </w:r>
            <w:r>
              <w:rPr>
                <w:rFonts w:hint="eastAsia" w:ascii="微软雅黑" w:hAnsi="微软雅黑" w:eastAsia="微软雅黑"/>
                <w:color w:val="000000"/>
                <w:sz w:val="21"/>
                <w:szCs w:val="21"/>
              </w:rPr>
              <w:t>（游览约1小时）古城街区保存了大量明清古建筑，主要包括古祠堂、古民居和古粮仓，其中古祠堂有26座，建筑的屏门窗棂、门墩柱础、天花雀替等雕饰有不同的龙凤、花草、人物、山水等图案，中餐享用《祠堂宴》）</w:t>
            </w:r>
            <w:r>
              <w:rPr>
                <w:rFonts w:hint="eastAsia" w:ascii="微软雅黑" w:hAnsi="微软雅黑" w:eastAsia="微软雅黑"/>
                <w:sz w:val="21"/>
                <w:szCs w:val="21"/>
                <w:lang w:eastAsia="zh-CN"/>
              </w:rPr>
              <w:t>午餐后乘车前往</w:t>
            </w:r>
            <w:r>
              <w:rPr>
                <w:rFonts w:hint="eastAsia" w:ascii="微软雅黑" w:hAnsi="微软雅黑" w:eastAsia="微软雅黑"/>
                <w:sz w:val="21"/>
                <w:szCs w:val="21"/>
              </w:rPr>
              <w:t>南昌</w:t>
            </w:r>
            <w:r>
              <w:rPr>
                <w:rFonts w:hint="eastAsia" w:ascii="微软雅黑" w:hAnsi="微软雅黑" w:eastAsia="微软雅黑"/>
                <w:sz w:val="21"/>
                <w:szCs w:val="21"/>
                <w:lang w:eastAsia="zh-CN"/>
              </w:rPr>
              <w:t>，游</w:t>
            </w:r>
            <w:r>
              <w:rPr>
                <w:rFonts w:hint="eastAsia" w:ascii="微软雅黑" w:hAnsi="微软雅黑" w:eastAsia="微软雅黑"/>
                <w:sz w:val="21"/>
                <w:szCs w:val="21"/>
              </w:rPr>
              <w:t>“军旗升起的地方”</w:t>
            </w:r>
            <w:r>
              <w:rPr>
                <w:rFonts w:hint="eastAsia" w:ascii="微软雅黑" w:hAnsi="微软雅黑" w:eastAsia="微软雅黑"/>
                <w:b/>
                <w:bCs/>
                <w:sz w:val="21"/>
                <w:szCs w:val="21"/>
                <w:lang w:eastAsia="zh-CN"/>
              </w:rPr>
              <w:t>【八一广场】</w:t>
            </w:r>
            <w:r>
              <w:rPr>
                <w:rFonts w:hint="eastAsia" w:ascii="微软雅黑" w:hAnsi="微软雅黑" w:eastAsia="微软雅黑"/>
                <w:b w:val="0"/>
                <w:bCs w:val="0"/>
                <w:sz w:val="21"/>
                <w:szCs w:val="21"/>
                <w:lang w:eastAsia="zh-CN"/>
              </w:rPr>
              <w:t>后乘车前往</w:t>
            </w:r>
            <w:r>
              <w:rPr>
                <w:rFonts w:hint="eastAsia" w:ascii="微软雅黑" w:hAnsi="微软雅黑" w:eastAsia="微软雅黑"/>
                <w:b/>
                <w:bCs/>
                <w:sz w:val="21"/>
                <w:szCs w:val="21"/>
                <w:lang w:eastAsia="zh-CN"/>
              </w:rPr>
              <w:t>【</w:t>
            </w:r>
            <w:r>
              <w:rPr>
                <w:rFonts w:hint="eastAsia" w:ascii="微软雅黑" w:hAnsi="微软雅黑" w:eastAsia="微软雅黑"/>
                <w:b/>
                <w:bCs/>
                <w:sz w:val="21"/>
                <w:szCs w:val="21"/>
              </w:rPr>
              <w:t>秋水广场</w:t>
            </w:r>
            <w:r>
              <w:rPr>
                <w:rFonts w:hint="eastAsia" w:ascii="微软雅黑" w:hAnsi="微软雅黑" w:eastAsia="微软雅黑"/>
                <w:b/>
                <w:bCs/>
                <w:sz w:val="21"/>
                <w:szCs w:val="21"/>
                <w:lang w:eastAsia="zh-CN"/>
              </w:rPr>
              <w:t>】</w:t>
            </w:r>
            <w:r>
              <w:rPr>
                <w:rFonts w:hint="eastAsia" w:ascii="微软雅黑" w:hAnsi="微软雅黑" w:eastAsia="微软雅黑"/>
                <w:sz w:val="21"/>
                <w:szCs w:val="21"/>
              </w:rPr>
              <w:t>地处红谷滩新区赣江江边，紧邻行政中心广场，和滕王阁隔江相望。广场的主体喷泉，最高能喷到108米，是亚洲最大的音乐喷泉。夏天站在喷泉下，凉爽异常，透过薄雾看太阳，能发现无数个小彩虹，非常美。晚上对面的动态灯光随着喷泉舞动，旁边还有台湾小吃街，是享用夜宵的好地方。</w:t>
            </w:r>
          </w:p>
        </w:tc>
        <w:tc>
          <w:tcPr>
            <w:tcW w:w="570"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240" w:lineRule="exact"/>
              <w:jc w:val="center"/>
              <w:rPr>
                <w:rFonts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早中晚</w:t>
            </w:r>
          </w:p>
        </w:tc>
        <w:tc>
          <w:tcPr>
            <w:tcW w:w="468"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240" w:lineRule="exact"/>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南昌</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822"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D6</w:t>
            </w:r>
          </w:p>
        </w:tc>
        <w:tc>
          <w:tcPr>
            <w:tcW w:w="750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r>
              <w:rPr>
                <w:rFonts w:hint="eastAsia" w:ascii="微软雅黑" w:hAnsi="微软雅黑" w:eastAsia="微软雅黑"/>
                <w:color w:val="000000"/>
                <w:sz w:val="21"/>
                <w:szCs w:val="21"/>
              </w:rPr>
              <w:t>早餐后，</w:t>
            </w:r>
            <w:r>
              <w:rPr>
                <w:rFonts w:hint="eastAsia" w:ascii="微软雅黑" w:hAnsi="微软雅黑" w:eastAsia="微软雅黑"/>
                <w:color w:val="000000"/>
                <w:sz w:val="21"/>
                <w:szCs w:val="21"/>
                <w:lang w:eastAsia="zh-CN"/>
              </w:rPr>
              <w:t>根据航班时间</w:t>
            </w:r>
            <w:r>
              <w:rPr>
                <w:rFonts w:hint="eastAsia" w:ascii="微软雅黑" w:hAnsi="微软雅黑" w:eastAsia="微软雅黑"/>
                <w:color w:val="000000"/>
                <w:sz w:val="21"/>
                <w:szCs w:val="21"/>
              </w:rPr>
              <w:t>乘</w:t>
            </w:r>
            <w:r>
              <w:rPr>
                <w:rFonts w:hint="eastAsia" w:ascii="微软雅黑" w:hAnsi="微软雅黑" w:eastAsia="微软雅黑"/>
                <w:color w:val="000000"/>
                <w:sz w:val="21"/>
                <w:szCs w:val="21"/>
                <w:lang w:eastAsia="zh-CN"/>
              </w:rPr>
              <w:t>机</w:t>
            </w:r>
            <w:r>
              <w:rPr>
                <w:rFonts w:hint="eastAsia" w:ascii="微软雅黑" w:hAnsi="微软雅黑" w:eastAsia="微软雅黑"/>
                <w:color w:val="000000"/>
                <w:sz w:val="21"/>
                <w:szCs w:val="21"/>
              </w:rPr>
              <w:t>返回，结束愉快康养之旅！</w:t>
            </w:r>
          </w:p>
        </w:tc>
        <w:tc>
          <w:tcPr>
            <w:tcW w:w="570"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40" w:lineRule="exact"/>
              <w:jc w:val="center"/>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lang w:val="en-US" w:eastAsia="zh-CN"/>
              </w:rPr>
              <w:t>早</w:t>
            </w:r>
          </w:p>
        </w:tc>
        <w:tc>
          <w:tcPr>
            <w:tcW w:w="468"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240" w:lineRule="exact"/>
              <w:rPr>
                <w:rFonts w:hint="eastAsia" w:ascii="微软雅黑" w:hAnsi="微软雅黑" w:eastAsia="微软雅黑" w:cs="微软雅黑"/>
                <w:b/>
                <w:color w:val="000000"/>
                <w:sz w:val="21"/>
                <w:szCs w:val="21"/>
                <w:lang w:val="en-US" w:eastAsia="zh-CN"/>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9231" w:type="dxa"/>
            <w:gridSpan w:val="4"/>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280" w:lineRule="exact"/>
              <w:rPr>
                <w:rFonts w:hint="eastAsia" w:ascii="宋体" w:hAnsi="宋体"/>
                <w:b/>
                <w:color w:val="000000"/>
                <w:sz w:val="18"/>
                <w:szCs w:val="18"/>
                <w:lang w:eastAsia="zh-CN"/>
              </w:rPr>
            </w:pPr>
            <w:r>
              <w:rPr>
                <w:rFonts w:hint="eastAsia" w:ascii="宋体" w:hAnsi="宋体"/>
                <w:b/>
                <w:color w:val="FFFF00"/>
                <w:sz w:val="18"/>
                <w:szCs w:val="18"/>
                <w:lang w:eastAsia="zh-CN"/>
              </w:rPr>
              <w:t>三、接待标准及参团须知：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34"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360" w:lineRule="exact"/>
              <w:rPr>
                <w:rFonts w:ascii="微软雅黑" w:hAnsi="微软雅黑" w:eastAsia="微软雅黑"/>
                <w:color w:val="000000"/>
                <w:sz w:val="21"/>
                <w:szCs w:val="21"/>
              </w:rPr>
            </w:pPr>
            <w:r>
              <w:rPr>
                <w:rFonts w:hint="eastAsia" w:ascii="微软雅黑" w:hAnsi="微软雅黑" w:eastAsia="微软雅黑"/>
                <w:color w:val="000000"/>
                <w:sz w:val="21"/>
                <w:szCs w:val="21"/>
              </w:rPr>
              <w:t>接待标准</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napToGrid w:val="0"/>
              <w:spacing w:line="360" w:lineRule="exact"/>
              <w:ind w:left="945" w:hanging="945" w:hangingChars="450"/>
              <w:rPr>
                <w:rFonts w:ascii="微软雅黑" w:hAnsi="微软雅黑" w:eastAsia="微软雅黑"/>
                <w:color w:val="000000"/>
                <w:sz w:val="21"/>
                <w:szCs w:val="21"/>
              </w:rPr>
            </w:pPr>
            <w:r>
              <w:rPr>
                <w:rFonts w:hint="eastAsia" w:ascii="微软雅黑" w:hAnsi="微软雅黑" w:eastAsia="微软雅黑"/>
                <w:color w:val="000000"/>
                <w:sz w:val="21"/>
                <w:szCs w:val="21"/>
              </w:rPr>
              <w:t>1、住宿：全程四星酒店标间  （若出现单人或单男单女时，如酒店有三人房或加床，则不需补房差）</w:t>
            </w:r>
          </w:p>
          <w:p>
            <w:pPr>
              <w:spacing w:line="360" w:lineRule="exact"/>
              <w:ind w:left="945" w:hanging="945" w:hangingChars="450"/>
              <w:rPr>
                <w:rFonts w:hint="eastAsia" w:ascii="微软雅黑" w:hAnsi="微软雅黑" w:eastAsia="微软雅黑"/>
                <w:color w:val="000000"/>
                <w:sz w:val="21"/>
                <w:szCs w:val="21"/>
              </w:rPr>
            </w:pPr>
            <w:r>
              <w:rPr>
                <w:rFonts w:hint="eastAsia" w:ascii="微软雅黑" w:hAnsi="微软雅黑" w:eastAsia="微软雅黑"/>
                <w:color w:val="000000"/>
                <w:sz w:val="21"/>
                <w:szCs w:val="21"/>
              </w:rPr>
              <w:t>2、用餐：5早</w:t>
            </w:r>
            <w:r>
              <w:rPr>
                <w:rFonts w:hint="eastAsia" w:ascii="微软雅黑" w:hAnsi="微软雅黑" w:eastAsia="微软雅黑"/>
                <w:color w:val="000000"/>
                <w:sz w:val="21"/>
                <w:szCs w:val="21"/>
                <w:lang w:val="en-US" w:eastAsia="zh-CN"/>
              </w:rPr>
              <w:t>6</w:t>
            </w:r>
            <w:r>
              <w:rPr>
                <w:rFonts w:hint="eastAsia" w:ascii="微软雅黑" w:hAnsi="微软雅黑" w:eastAsia="微软雅黑"/>
                <w:color w:val="000000"/>
                <w:sz w:val="21"/>
                <w:szCs w:val="21"/>
              </w:rPr>
              <w:t>正（10人一桌，8菜1汤，若人数不足10人,则减少菜的数量或调整菜单；</w:t>
            </w:r>
          </w:p>
          <w:p>
            <w:pPr>
              <w:spacing w:line="360" w:lineRule="exact"/>
              <w:ind w:firstLine="1050" w:firstLineChars="500"/>
              <w:rPr>
                <w:rFonts w:ascii="微软雅黑" w:hAnsi="微软雅黑" w:eastAsia="微软雅黑"/>
                <w:color w:val="000000"/>
                <w:sz w:val="21"/>
                <w:szCs w:val="21"/>
              </w:rPr>
            </w:pPr>
            <w:r>
              <w:rPr>
                <w:rFonts w:hint="eastAsia" w:ascii="微软雅黑" w:hAnsi="微软雅黑" w:eastAsia="微软雅黑"/>
                <w:color w:val="000000"/>
                <w:sz w:val="21"/>
                <w:szCs w:val="21"/>
              </w:rPr>
              <w:t xml:space="preserve">如不用餐餐费不退） </w:t>
            </w:r>
          </w:p>
          <w:p>
            <w:pPr>
              <w:spacing w:line="360" w:lineRule="exact"/>
              <w:rPr>
                <w:rFonts w:ascii="微软雅黑" w:hAnsi="微软雅黑" w:eastAsia="微软雅黑"/>
                <w:color w:val="000000"/>
                <w:sz w:val="21"/>
                <w:szCs w:val="21"/>
              </w:rPr>
            </w:pPr>
            <w:r>
              <w:rPr>
                <w:rFonts w:hint="eastAsia" w:ascii="微软雅黑" w:hAnsi="微软雅黑" w:eastAsia="微软雅黑"/>
                <w:color w:val="000000"/>
                <w:sz w:val="21"/>
                <w:szCs w:val="21"/>
              </w:rPr>
              <w:t>3、门票：行程所列景点第一大门票，赠送景点不去不退；任何年龄无退费</w:t>
            </w:r>
          </w:p>
          <w:p>
            <w:pPr>
              <w:spacing w:line="360" w:lineRule="exact"/>
              <w:rPr>
                <w:rFonts w:ascii="微软雅黑" w:hAnsi="微软雅黑" w:eastAsia="微软雅黑"/>
                <w:color w:val="000000"/>
                <w:sz w:val="21"/>
                <w:szCs w:val="21"/>
              </w:rPr>
            </w:pPr>
            <w:r>
              <w:rPr>
                <w:rFonts w:hint="eastAsia" w:ascii="微软雅黑" w:hAnsi="微软雅黑" w:eastAsia="微软雅黑"/>
                <w:color w:val="000000"/>
                <w:sz w:val="21"/>
                <w:szCs w:val="21"/>
              </w:rPr>
              <w:t>4、交通：当地全程空调旅游车（按人数定车型保证一人一正座）；</w:t>
            </w:r>
          </w:p>
          <w:p>
            <w:pPr>
              <w:spacing w:line="360" w:lineRule="exact"/>
              <w:ind w:left="945" w:hanging="945" w:hangingChars="450"/>
              <w:rPr>
                <w:rFonts w:ascii="微软雅黑" w:hAnsi="微软雅黑" w:eastAsia="微软雅黑"/>
                <w:color w:val="000000"/>
                <w:sz w:val="21"/>
                <w:szCs w:val="21"/>
              </w:rPr>
            </w:pPr>
            <w:r>
              <w:rPr>
                <w:rFonts w:hint="eastAsia" w:ascii="微软雅黑" w:hAnsi="微软雅黑" w:eastAsia="微软雅黑"/>
                <w:color w:val="000000"/>
                <w:sz w:val="21"/>
                <w:szCs w:val="21"/>
              </w:rPr>
              <w:t>5、导游：行程中所安排导游为持有国家导游资格证，从业经验的优秀人员；</w:t>
            </w:r>
          </w:p>
          <w:p>
            <w:pPr>
              <w:spacing w:line="360" w:lineRule="exact"/>
              <w:rPr>
                <w:rFonts w:hint="eastAsia" w:ascii="微软雅黑" w:hAnsi="微软雅黑" w:eastAsia="微软雅黑"/>
                <w:color w:val="000000"/>
                <w:sz w:val="21"/>
                <w:szCs w:val="21"/>
              </w:rPr>
            </w:pPr>
            <w:r>
              <w:rPr>
                <w:rFonts w:hint="eastAsia" w:ascii="微软雅黑" w:hAnsi="微软雅黑" w:eastAsia="微软雅黑"/>
                <w:color w:val="000000"/>
                <w:sz w:val="21"/>
                <w:szCs w:val="21"/>
              </w:rPr>
              <w:t>6、安全：含旅行社责任险，保额￥10万元/人；</w:t>
            </w:r>
          </w:p>
          <w:p>
            <w:pPr>
              <w:rPr>
                <w:rFonts w:ascii="微软雅黑" w:hAnsi="微软雅黑" w:eastAsia="微软雅黑"/>
                <w:color w:val="000000"/>
                <w:sz w:val="21"/>
                <w:szCs w:val="21"/>
              </w:rPr>
            </w:pPr>
            <w:r>
              <w:rPr>
                <w:rFonts w:hint="eastAsia" w:ascii="微软雅黑" w:hAnsi="微软雅黑" w:eastAsia="微软雅黑"/>
                <w:color w:val="000000"/>
                <w:sz w:val="21"/>
                <w:szCs w:val="21"/>
              </w:rPr>
              <w:t>7. 购物：全程无购物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360" w:lineRule="exact"/>
              <w:rPr>
                <w:rFonts w:hint="eastAsia" w:ascii="微软雅黑" w:hAnsi="微软雅黑" w:eastAsia="微软雅黑"/>
                <w:color w:val="000000"/>
                <w:sz w:val="21"/>
                <w:szCs w:val="21"/>
              </w:rPr>
            </w:pP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rPr>
                <w:rFonts w:hint="eastAsia" w:ascii="微软雅黑" w:hAnsi="微软雅黑" w:eastAsia="微软雅黑"/>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0" w:hRule="atLeast"/>
        </w:trPr>
        <w:tc>
          <w:tcPr>
            <w:tcW w:w="693"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360" w:lineRule="exact"/>
              <w:jc w:val="center"/>
              <w:rPr>
                <w:rFonts w:ascii="微软雅黑" w:hAnsi="微软雅黑" w:eastAsia="微软雅黑"/>
                <w:b/>
                <w:bCs/>
                <w:color w:val="D60093"/>
                <w:sz w:val="21"/>
                <w:szCs w:val="21"/>
              </w:rPr>
            </w:pPr>
            <w:r>
              <w:rPr>
                <w:rFonts w:hint="eastAsia" w:ascii="微软雅黑" w:hAnsi="微软雅黑" w:eastAsia="微软雅黑"/>
                <w:b/>
                <w:bCs/>
                <w:color w:val="D60093"/>
                <w:sz w:val="21"/>
                <w:szCs w:val="21"/>
              </w:rPr>
              <w:t>不含项目</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360" w:lineRule="exact"/>
              <w:ind w:left="300" w:hanging="300" w:hangingChars="150"/>
              <w:rPr>
                <w:rFonts w:ascii="微软雅黑" w:hAnsi="微软雅黑" w:eastAsia="微软雅黑" w:cs="微软雅黑"/>
                <w:b/>
                <w:bCs/>
                <w:color w:val="000000"/>
                <w:sz w:val="20"/>
                <w:szCs w:val="22"/>
                <w:lang w:val="en-US" w:eastAsia="zh-CN"/>
              </w:rPr>
            </w:pPr>
            <w:r>
              <w:rPr>
                <w:rFonts w:hint="eastAsia" w:ascii="微软雅黑" w:hAnsi="微软雅黑" w:eastAsia="微软雅黑" w:cs="微软雅黑"/>
                <w:color w:val="000000"/>
                <w:sz w:val="20"/>
                <w:szCs w:val="22"/>
              </w:rPr>
              <w:t>1、报价不含景区内小交通：</w:t>
            </w:r>
          </w:p>
          <w:p>
            <w:pPr>
              <w:spacing w:line="360" w:lineRule="exact"/>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2、自由活动期间交通费、餐费、等私人费用。</w:t>
            </w:r>
          </w:p>
          <w:p>
            <w:pPr>
              <w:spacing w:line="360" w:lineRule="exact"/>
              <w:ind w:left="304" w:hanging="304" w:hangingChars="152"/>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3、行程中未提到包含的其它费用：如景区内二道门票、观光车、电瓶车、索道、租赁等费用。</w:t>
            </w:r>
          </w:p>
          <w:p>
            <w:pPr>
              <w:spacing w:line="360" w:lineRule="exact"/>
              <w:ind w:left="304" w:hanging="304" w:hangingChars="152"/>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4、不提供自然单间，产生单房差或加床费用自理。酒店入住的匙牌押金，非免费餐饮费、洗衣、电话、饮料、烟酒、付费电视、行李搬运等费用。</w:t>
            </w:r>
          </w:p>
          <w:p>
            <w:pPr>
              <w:spacing w:line="360" w:lineRule="exact"/>
              <w:ind w:left="304" w:hanging="304" w:hangingChars="152"/>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5、客人自选个人消费项目，及“旅游费用包含”内容以外的所有费用；</w:t>
            </w:r>
          </w:p>
          <w:p>
            <w:pPr>
              <w:spacing w:line="360" w:lineRule="exact"/>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6、儿童的“旅游费用包含”内容以外的所有费用。例如产生超高餐费、门票等需客人另付！</w:t>
            </w:r>
          </w:p>
          <w:p>
            <w:pPr>
              <w:spacing w:line="360" w:lineRule="exact"/>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drawing>
                <wp:anchor distT="0" distB="0" distL="114300" distR="114300" simplePos="0" relativeHeight="251688960" behindDoc="1" locked="0" layoutInCell="1" allowOverlap="1">
                  <wp:simplePos x="0" y="0"/>
                  <wp:positionH relativeFrom="column">
                    <wp:posOffset>-1367155</wp:posOffset>
                  </wp:positionH>
                  <wp:positionV relativeFrom="paragraph">
                    <wp:posOffset>-728345</wp:posOffset>
                  </wp:positionV>
                  <wp:extent cx="7551420" cy="10680700"/>
                  <wp:effectExtent l="0" t="0" r="11430" b="6350"/>
                  <wp:wrapNone/>
                  <wp:docPr id="17" name="图片 17"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行摄江西-万载古城双飞6日游word31"/>
                          <pic:cNvPicPr>
                            <a:picLocks noChangeAspect="1"/>
                          </pic:cNvPicPr>
                        </pic:nvPicPr>
                        <pic:blipFill>
                          <a:blip r:embed="rId7"/>
                          <a:stretch>
                            <a:fillRect/>
                          </a:stretch>
                        </pic:blipFill>
                        <pic:spPr>
                          <a:xfrm>
                            <a:off x="0" y="0"/>
                            <a:ext cx="7551420" cy="10680700"/>
                          </a:xfrm>
                          <a:prstGeom prst="rect">
                            <a:avLst/>
                          </a:prstGeom>
                        </pic:spPr>
                      </pic:pic>
                    </a:graphicData>
                  </a:graphic>
                </wp:anchor>
              </w:drawing>
            </w:r>
            <w:r>
              <w:rPr>
                <w:rFonts w:hint="eastAsia" w:ascii="微软雅黑" w:hAnsi="微软雅黑" w:eastAsia="微软雅黑" w:cs="微软雅黑"/>
                <w:color w:val="000000"/>
                <w:sz w:val="20"/>
                <w:szCs w:val="22"/>
              </w:rPr>
              <w:t>7、因交通延误、取消等意外事件或不可抗力原因导致的额外费用，及个人所产生的费用等。</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8、航空保险、旅游意外保险；因旅游者违约、自身过错、自身疾病，导致的人身财产损失而额外支付的费用。</w:t>
            </w:r>
          </w:p>
          <w:p>
            <w:pPr>
              <w:spacing w:line="360" w:lineRule="exact"/>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9、因旅游者违约、自身过错、自身疾病导致的人身财产损失而额外支付的费用；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01" w:hRule="atLeast"/>
        </w:trPr>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360" w:lineRule="exact"/>
              <w:jc w:val="center"/>
              <w:rPr>
                <w:rFonts w:ascii="微软雅黑" w:hAnsi="微软雅黑" w:eastAsia="微软雅黑"/>
                <w:b/>
                <w:bCs/>
                <w:color w:val="D60093"/>
                <w:sz w:val="21"/>
                <w:szCs w:val="21"/>
              </w:rPr>
            </w:pPr>
            <w:r>
              <w:rPr>
                <w:rFonts w:hint="eastAsia" w:ascii="微软雅黑" w:hAnsi="微软雅黑" w:eastAsia="微软雅黑"/>
                <w:b/>
                <w:bCs/>
                <w:color w:val="D60093"/>
                <w:sz w:val="21"/>
                <w:szCs w:val="21"/>
              </w:rPr>
              <w:t>小童费用说明</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360" w:lineRule="exact"/>
              <w:ind w:left="300" w:hanging="300" w:hangingChars="150"/>
              <w:rPr>
                <w:rFonts w:hint="eastAsia"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lang w:eastAsia="zh-CN"/>
              </w:rPr>
              <w:t>儿童：</w:t>
            </w:r>
          </w:p>
          <w:p>
            <w:pPr>
              <w:spacing w:line="360" w:lineRule="exact"/>
              <w:ind w:left="300" w:hanging="300" w:hangingChars="150"/>
              <w:rPr>
                <w:rFonts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rPr>
              <w:t>1.</w:t>
            </w:r>
            <w:r>
              <w:rPr>
                <w:rFonts w:hint="eastAsia" w:ascii="微软雅黑" w:hAnsi="微软雅黑" w:eastAsia="微软雅黑" w:cs="微软雅黑"/>
                <w:color w:val="000000"/>
                <w:sz w:val="20"/>
                <w:szCs w:val="22"/>
                <w:lang w:val="en-US" w:eastAsia="zh-CN"/>
              </w:rPr>
              <w:t>2</w:t>
            </w:r>
            <w:r>
              <w:rPr>
                <w:rFonts w:hint="eastAsia" w:ascii="微软雅黑" w:hAnsi="微软雅黑" w:eastAsia="微软雅黑" w:cs="微软雅黑"/>
                <w:color w:val="000000"/>
                <w:sz w:val="20"/>
                <w:szCs w:val="22"/>
              </w:rPr>
              <w:t>米以下含导服费及汽车车位以及餐费，不含（门票、火车票、酒店床位、环保车费用、缆车费用）如超高客人自付费用，小童不占酒店床位时需另补早餐费用；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693"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360" w:lineRule="exact"/>
              <w:jc w:val="center"/>
              <w:rPr>
                <w:rFonts w:ascii="微软雅黑" w:hAnsi="微软雅黑" w:eastAsia="微软雅黑" w:cs="微软雅黑"/>
                <w:b/>
                <w:bCs/>
                <w:color w:val="000000"/>
                <w:sz w:val="21"/>
                <w:szCs w:val="21"/>
              </w:rPr>
            </w:pPr>
            <w:r>
              <w:rPr>
                <w:rFonts w:hint="eastAsia" w:ascii="微软雅黑" w:hAnsi="微软雅黑" w:eastAsia="微软雅黑"/>
                <w:b/>
                <w:bCs/>
                <w:color w:val="D60093"/>
                <w:sz w:val="21"/>
                <w:szCs w:val="21"/>
              </w:rPr>
              <w:t>报名须知</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B7DDE8"/>
            <w:noWrap w:val="0"/>
            <w:vAlign w:val="top"/>
          </w:tcPr>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1、旅行社确保火车票，客人不能对火车票铺位及车次有特殊要求！</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2、此团为散客当地拼团，不派全陪领队，</w:t>
            </w:r>
          </w:p>
          <w:p>
            <w:pPr>
              <w:spacing w:line="360" w:lineRule="exact"/>
              <w:ind w:left="300" w:hanging="300" w:hangingChars="150"/>
              <w:rPr>
                <w:rFonts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rPr>
              <w:t>3、此团最低成团人数</w:t>
            </w:r>
            <w:r>
              <w:rPr>
                <w:rFonts w:hint="eastAsia" w:ascii="微软雅黑" w:hAnsi="微软雅黑" w:eastAsia="微软雅黑" w:cs="微软雅黑"/>
                <w:color w:val="000000"/>
                <w:sz w:val="20"/>
                <w:szCs w:val="22"/>
                <w:lang w:eastAsia="zh-CN"/>
              </w:rPr>
              <w:t>10</w:t>
            </w:r>
            <w:r>
              <w:rPr>
                <w:rFonts w:hint="eastAsia" w:ascii="微软雅黑" w:hAnsi="微软雅黑" w:eastAsia="微软雅黑" w:cs="微软雅黑"/>
                <w:color w:val="000000"/>
                <w:sz w:val="20"/>
                <w:szCs w:val="22"/>
              </w:rPr>
              <w:t>成人即可成团，如因人数不足导致无法成团，本公司会提前7天通知客人，客人可选择延期出发、更改线路出行、或退回所交团款。上述办法执行又无法成团，我社仅退回团款，不承担违约责任。</w:t>
            </w:r>
            <w:r>
              <w:rPr>
                <w:rFonts w:hint="eastAsia" w:ascii="微软雅黑" w:hAnsi="微软雅黑" w:eastAsia="微软雅黑" w:cs="微软雅黑"/>
                <w:color w:val="000000"/>
                <w:sz w:val="20"/>
                <w:szCs w:val="22"/>
                <w:lang w:eastAsia="zh-CN"/>
              </w:rPr>
              <w:t>游客报名出团前72小时内取消需承担300元人车损</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4、请游客在报名时，准确登记姓名及身份证等号码（小孩出生年月），并在出游时携带有效证件（身份证、户口本、护照、回乡证等），如因个人原因而引发无法出行及一切经济损失，责任自负：</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6、有些景区景点对于军人、老人、儿童等特定人群有一定优惠，请旅游者提前向导游出示证件以便导游购买优惠门票，如购买门票后再向导游出示，将不能享受优惠。</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9、因是散客拼团，因个人原因不用的餐不能餐费，江西部分景区酒店用晚餐送早餐，若不在入住酒店内用晚餐。</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10、行程中如自行离团，视为游客单方面解除旅游合同，因自身原因不参加旅行社安排的游览景点或个人原因中途离团，未产生的费用（如：门票、住宿等）一律不退。离团期间安全问</w:t>
            </w:r>
            <w:r>
              <w:rPr>
                <w:rFonts w:hint="eastAsia" w:ascii="微软雅黑" w:hAnsi="微软雅黑" w:eastAsia="微软雅黑" w:cs="微软雅黑"/>
                <w:color w:val="000000"/>
                <w:sz w:val="20"/>
                <w:szCs w:val="22"/>
              </w:rPr>
              <w:drawing>
                <wp:anchor distT="0" distB="0" distL="114300" distR="114300" simplePos="0" relativeHeight="251689984" behindDoc="1" locked="0" layoutInCell="1" allowOverlap="1">
                  <wp:simplePos x="0" y="0"/>
                  <wp:positionH relativeFrom="column">
                    <wp:posOffset>-1369695</wp:posOffset>
                  </wp:positionH>
                  <wp:positionV relativeFrom="paragraph">
                    <wp:posOffset>-719455</wp:posOffset>
                  </wp:positionV>
                  <wp:extent cx="7553960" cy="10685145"/>
                  <wp:effectExtent l="0" t="0" r="8890" b="1905"/>
                  <wp:wrapNone/>
                  <wp:docPr id="18" name="图片 18"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行摄江西-万载古城双飞6日游word31"/>
                          <pic:cNvPicPr>
                            <a:picLocks noChangeAspect="1"/>
                          </pic:cNvPicPr>
                        </pic:nvPicPr>
                        <pic:blipFill>
                          <a:blip r:embed="rId7"/>
                          <a:stretch>
                            <a:fillRect/>
                          </a:stretch>
                        </pic:blipFill>
                        <pic:spPr>
                          <a:xfrm>
                            <a:off x="0" y="0"/>
                            <a:ext cx="7553960" cy="10685145"/>
                          </a:xfrm>
                          <a:prstGeom prst="rect">
                            <a:avLst/>
                          </a:prstGeom>
                        </pic:spPr>
                      </pic:pic>
                    </a:graphicData>
                  </a:graphic>
                </wp:anchor>
              </w:drawing>
            </w:r>
            <w:r>
              <w:rPr>
                <w:rFonts w:hint="eastAsia" w:ascii="微软雅黑" w:hAnsi="微软雅黑" w:eastAsia="微软雅黑" w:cs="微软雅黑"/>
                <w:color w:val="000000"/>
                <w:sz w:val="20"/>
                <w:szCs w:val="22"/>
              </w:rPr>
              <w:t>题由客人自负，请并在离团前签订自愿离团证明。</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11、游客所乘坐的火车车次及在当地入住的准确酒店、集合时间、地点等相关信息我社会提前以出团通知书的形式确认给您，以此为准。</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12、请游客认真填写游客意见书。游客签名的意见书将作为处理投诉及反馈意见的重要依据；请游客务必认真填写意见书，如不签或签了“满意”而又再回到深圳投诉，请恕我社概不承担责任。</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bCs/>
                <w:color w:val="000000"/>
                <w:sz w:val="20"/>
                <w:szCs w:val="22"/>
              </w:rPr>
              <w:t>13、退团说明：</w:t>
            </w:r>
            <w:r>
              <w:rPr>
                <w:rFonts w:hint="eastAsia" w:ascii="微软雅黑" w:hAnsi="微软雅黑" w:eastAsia="微软雅黑" w:cs="微软雅黑"/>
                <w:color w:val="000000"/>
                <w:sz w:val="20"/>
                <w:szCs w:val="22"/>
              </w:rPr>
              <w:t xml:space="preserve">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t>
            </w:r>
          </w:p>
          <w:p>
            <w:pPr>
              <w:spacing w:line="360" w:lineRule="exact"/>
              <w:ind w:left="300" w:hanging="300" w:hangingChars="150"/>
              <w:rPr>
                <w:rFonts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rPr>
              <w:t>14、行程中发生的纠纷，旅游者不得以拒绝登(下)机(车、船)、入住酒店等行为拖延行程或者脱团，否则，除承担给组团旅行社造成的实际损失外，还要承担旅游费用20-30%的违约金。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693" w:type="dxa"/>
            <w:tcBorders>
              <w:top w:val="single" w:color="4BACC6" w:sz="8" w:space="0"/>
              <w:left w:val="single" w:color="4BACC6" w:sz="8" w:space="0"/>
              <w:bottom w:val="single" w:color="4BACC6" w:sz="8" w:space="0"/>
              <w:right w:val="single" w:color="4BACC6" w:sz="8" w:space="0"/>
            </w:tcBorders>
            <w:shd w:val="clear" w:color="auto" w:fill="FFFFFF"/>
            <w:noWrap w:val="0"/>
            <w:vAlign w:val="center"/>
          </w:tcPr>
          <w:p>
            <w:pPr>
              <w:spacing w:line="360" w:lineRule="exact"/>
              <w:jc w:val="center"/>
              <w:rPr>
                <w:rFonts w:ascii="微软雅黑" w:hAnsi="微软雅黑" w:eastAsia="微软雅黑"/>
                <w:b/>
                <w:bCs/>
                <w:color w:val="D60093"/>
                <w:sz w:val="21"/>
                <w:szCs w:val="21"/>
              </w:rPr>
            </w:pPr>
            <w:r>
              <w:rPr>
                <w:rFonts w:hint="eastAsia" w:ascii="微软雅黑" w:hAnsi="微软雅黑" w:eastAsia="微软雅黑"/>
                <w:b/>
                <w:bCs/>
                <w:color w:val="D60093"/>
                <w:sz w:val="21"/>
                <w:szCs w:val="21"/>
              </w:rPr>
              <w:t>温馨提示</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FFFFFF"/>
            <w:noWrap w:val="0"/>
            <w:vAlign w:val="top"/>
          </w:tcPr>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餐饮方面：全程用餐的情况会根据游客游览的时间做一个合理的调整，视具体情况而定的；旅游目的地饮食习惯与出发地不同，江西口味重、偏辣且油腻，主食以米饭为主。不一定都能符合游客的口味；餐厅的服务水准也与广东有一定差距，有需要时请与导游及服务员联系；我们将尽快为你解决问题。</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bCs/>
                <w:color w:val="000000"/>
                <w:sz w:val="20"/>
                <w:szCs w:val="22"/>
              </w:rPr>
              <w:t>2、酒店方面：</w:t>
            </w:r>
            <w:r>
              <w:rPr>
                <w:rFonts w:hint="eastAsia" w:ascii="微软雅黑" w:hAnsi="微软雅黑" w:eastAsia="微软雅黑" w:cs="微软雅黑"/>
                <w:color w:val="000000"/>
                <w:sz w:val="20"/>
                <w:szCs w:val="22"/>
              </w:rPr>
              <w:t>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5、请游客出发前根据旅游地天气情况准备适宜出行的衣物、鞋子、雨具等；</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6、请游客依照个人习惯带适量常用药品、护肤用品（防嗮、保湿）等；</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7、江西气候相对干燥，请勿在景区吸烟。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693" w:type="dxa"/>
            <w:tcBorders>
              <w:top w:val="single" w:color="4BACC6" w:sz="8" w:space="0"/>
              <w:left w:val="single" w:color="4BACC6" w:sz="8" w:space="0"/>
              <w:bottom w:val="single" w:color="4BACC6" w:sz="8" w:space="0"/>
              <w:right w:val="single" w:color="4BACC6" w:sz="8" w:space="0"/>
            </w:tcBorders>
            <w:shd w:val="clear" w:color="auto" w:fill="B7DDE8"/>
            <w:noWrap w:val="0"/>
            <w:vAlign w:val="center"/>
          </w:tcPr>
          <w:p>
            <w:pPr>
              <w:spacing w:line="360" w:lineRule="exact"/>
              <w:jc w:val="center"/>
              <w:rPr>
                <w:rFonts w:ascii="微软雅黑" w:hAnsi="微软雅黑" w:eastAsia="微软雅黑"/>
                <w:b/>
                <w:bCs/>
                <w:color w:val="D60093"/>
                <w:sz w:val="21"/>
                <w:szCs w:val="21"/>
              </w:rPr>
            </w:pPr>
            <w:r>
              <w:rPr>
                <w:rFonts w:hint="eastAsia" w:ascii="微软雅黑" w:hAnsi="微软雅黑" w:eastAsia="微软雅黑"/>
                <w:b/>
                <w:bCs/>
                <w:color w:val="D60093"/>
                <w:sz w:val="21"/>
                <w:szCs w:val="21"/>
              </w:rPr>
              <w:t>免责情况</w:t>
            </w:r>
          </w:p>
        </w:tc>
        <w:tc>
          <w:tcPr>
            <w:tcW w:w="8538" w:type="dxa"/>
            <w:gridSpan w:val="3"/>
            <w:tcBorders>
              <w:top w:val="single" w:color="4BACC6" w:sz="8" w:space="0"/>
              <w:left w:val="single" w:color="4BACC6" w:sz="8" w:space="0"/>
              <w:bottom w:val="single" w:color="4BACC6" w:sz="8" w:space="0"/>
              <w:right w:val="single" w:color="4BACC6" w:sz="8" w:space="0"/>
            </w:tcBorders>
            <w:shd w:val="clear" w:color="auto" w:fill="B7DDE8"/>
            <w:noWrap w:val="0"/>
            <w:vAlign w:val="top"/>
          </w:tcPr>
          <w:p>
            <w:pPr>
              <w:widowControl w:val="0"/>
              <w:numPr>
                <w:ilvl w:val="0"/>
                <w:numId w:val="1"/>
              </w:numPr>
              <w:spacing w:line="360" w:lineRule="exact"/>
              <w:jc w:val="both"/>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因不可抗力因素造成团队行程更改、延误、滞留或提前结束时，旅行社可根据当时的情况全权处理，如发生费用加减，按未发生费用退还游客，超支费用由游客承担的办法处理。旅行</w:t>
            </w:r>
            <w:r>
              <w:rPr>
                <w:rFonts w:hint="eastAsia" w:ascii="微软雅黑" w:hAnsi="微软雅黑" w:eastAsia="微软雅黑" w:cs="微软雅黑"/>
                <w:color w:val="000000"/>
                <w:sz w:val="20"/>
                <w:szCs w:val="22"/>
              </w:rPr>
              <w:drawing>
                <wp:anchor distT="0" distB="0" distL="114300" distR="114300" simplePos="0" relativeHeight="251691008" behindDoc="1" locked="0" layoutInCell="1" allowOverlap="1">
                  <wp:simplePos x="0" y="0"/>
                  <wp:positionH relativeFrom="column">
                    <wp:posOffset>-1366520</wp:posOffset>
                  </wp:positionH>
                  <wp:positionV relativeFrom="paragraph">
                    <wp:posOffset>-719455</wp:posOffset>
                  </wp:positionV>
                  <wp:extent cx="7562850" cy="10697210"/>
                  <wp:effectExtent l="0" t="0" r="0" b="8890"/>
                  <wp:wrapNone/>
                  <wp:docPr id="19" name="图片 19" descr="行摄江西-万载古城双飞6日游wor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行摄江西-万载古城双飞6日游word31"/>
                          <pic:cNvPicPr>
                            <a:picLocks noChangeAspect="1"/>
                          </pic:cNvPicPr>
                        </pic:nvPicPr>
                        <pic:blipFill>
                          <a:blip r:embed="rId7"/>
                          <a:stretch>
                            <a:fillRect/>
                          </a:stretch>
                        </pic:blipFill>
                        <pic:spPr>
                          <a:xfrm>
                            <a:off x="0" y="0"/>
                            <a:ext cx="7562850" cy="10697210"/>
                          </a:xfrm>
                          <a:prstGeom prst="rect">
                            <a:avLst/>
                          </a:prstGeom>
                        </pic:spPr>
                      </pic:pic>
                    </a:graphicData>
                  </a:graphic>
                </wp:anchor>
              </w:drawing>
            </w:r>
            <w:r>
              <w:rPr>
                <w:rFonts w:hint="eastAsia" w:ascii="微软雅黑" w:hAnsi="微软雅黑" w:eastAsia="微软雅黑" w:cs="微软雅黑"/>
                <w:color w:val="000000"/>
                <w:sz w:val="20"/>
                <w:szCs w:val="22"/>
              </w:rPr>
              <w:t>社在旅途中有权根据实际情况对行程先后顺序作调整，但不影响原定的接待标准及游览景点；</w:t>
            </w:r>
          </w:p>
          <w:p>
            <w:pPr>
              <w:widowControl w:val="0"/>
              <w:numPr>
                <w:ilvl w:val="0"/>
                <w:numId w:val="1"/>
              </w:numPr>
              <w:spacing w:line="360" w:lineRule="exact"/>
              <w:jc w:val="both"/>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如遇到堵车等非旅行社原因造成的误上火车及误登飞机等其它经济损失，旅行社概不承担责任。可在根当地协助处理，所产生的费用一切由游客承担。</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3、自由活动时间，请听从导游安排的准确集合时间及地点！如因客人自愿自行参加非旅行社组织的活动，出现任何意外受伤情况，责任由客人个人承担，旅行社不承担责任；</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4、意外情况发生时，旅行社已经采取措施尽量避免扩大损失，但游客不予配合而产生的费用，旅行社不予承担。</w:t>
            </w:r>
          </w:p>
          <w:p>
            <w:pPr>
              <w:spacing w:line="360" w:lineRule="exact"/>
              <w:ind w:left="300" w:hanging="300" w:hangingChars="150"/>
              <w:rPr>
                <w:rFonts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5、按照国家旅游局的规定，旅游者在境内、外不准许参与色情场所等其他法律所不允许情况的活动，如有前往者，须负责自己的行为后果，本公司已作说明，对此不承担任何责任。</w:t>
            </w:r>
          </w:p>
        </w:tc>
      </w:tr>
    </w:tbl>
    <w:p>
      <w:bookmarkStart w:id="0" w:name="_GoBack"/>
      <w:bookmarkEnd w:id="0"/>
    </w:p>
    <w:sectPr>
      <w:pgSz w:w="11906" w:h="16838"/>
      <w:pgMar w:top="1134" w:right="1417" w:bottom="1134"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A31A8"/>
    <w:rsid w:val="11DA31A8"/>
    <w:rsid w:val="35165D26"/>
    <w:rsid w:val="48440AC9"/>
    <w:rsid w:val="77EB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5413</Words>
  <Characters>5519</Characters>
  <Lines>0</Lines>
  <Paragraphs>0</Paragraphs>
  <TotalTime>16</TotalTime>
  <ScaleCrop>false</ScaleCrop>
  <LinksUpToDate>false</LinksUpToDate>
  <CharactersWithSpaces>5533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2021-01-27T02:24:00Z</dcterms:created>
  <dc:creator>Administrator</dc:creator>
  <cp:lastModifiedBy>此用户正在回复</cp:lastModifiedBy>
  <dcterms:modified xsi:type="dcterms:W3CDTF">2021-03-19T08:50:21Z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