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707392" behindDoc="0" locked="0" layoutInCell="1" allowOverlap="1">
            <wp:simplePos x="0" y="0"/>
            <wp:positionH relativeFrom="column">
              <wp:posOffset>6011545</wp:posOffset>
            </wp:positionH>
            <wp:positionV relativeFrom="paragraph">
              <wp:posOffset>-9639300</wp:posOffset>
            </wp:positionV>
            <wp:extent cx="746125" cy="360045"/>
            <wp:effectExtent l="0" t="0" r="15875" b="1905"/>
            <wp:wrapNone/>
            <wp:docPr id="6" name="图片 6" descr="好宜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好宜游"/>
                    <pic:cNvPicPr>
                      <a:picLocks noChangeAspect="1"/>
                    </pic:cNvPicPr>
                  </pic:nvPicPr>
                  <pic:blipFill>
                    <a:blip r:embed="rId6"/>
                    <a:stretch>
                      <a:fillRect/>
                    </a:stretch>
                  </pic:blipFill>
                  <pic:spPr>
                    <a:xfrm>
                      <a:off x="0" y="0"/>
                      <a:ext cx="746125" cy="360045"/>
                    </a:xfrm>
                    <a:prstGeom prst="rect">
                      <a:avLst/>
                    </a:prstGeom>
                  </pic:spPr>
                </pic:pic>
              </a:graphicData>
            </a:graphic>
          </wp:anchor>
        </w:drawing>
      </w:r>
      <w:r>
        <w:drawing>
          <wp:anchor distT="0" distB="0" distL="114300" distR="114300" simplePos="0" relativeHeight="251706368" behindDoc="0" locked="0" layoutInCell="1" allowOverlap="1">
            <wp:simplePos x="0" y="0"/>
            <wp:positionH relativeFrom="column">
              <wp:posOffset>455295</wp:posOffset>
            </wp:positionH>
            <wp:positionV relativeFrom="paragraph">
              <wp:posOffset>-5008880</wp:posOffset>
            </wp:positionV>
            <wp:extent cx="946785" cy="566420"/>
            <wp:effectExtent l="0" t="0" r="5715" b="5080"/>
            <wp:wrapNone/>
            <wp:docPr id="1" name="图片 1"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等待标志"/>
                    <pic:cNvPicPr>
                      <a:picLocks noChangeAspect="1"/>
                    </pic:cNvPicPr>
                  </pic:nvPicPr>
                  <pic:blipFill>
                    <a:blip r:embed="rId7"/>
                    <a:stretch>
                      <a:fillRect/>
                    </a:stretch>
                  </pic:blipFill>
                  <pic:spPr>
                    <a:xfrm>
                      <a:off x="0" y="0"/>
                      <a:ext cx="946785" cy="566420"/>
                    </a:xfrm>
                    <a:prstGeom prst="rect">
                      <a:avLst/>
                    </a:prstGeom>
                  </pic:spPr>
                </pic:pic>
              </a:graphicData>
            </a:graphic>
          </wp:anchor>
        </w:drawing>
      </w:r>
      <w:bookmarkStart w:id="0" w:name="_GoBack"/>
      <w:r>
        <w:drawing>
          <wp:anchor distT="0" distB="0" distL="114300" distR="114300" simplePos="0" relativeHeight="251656192" behindDoc="1" locked="0" layoutInCell="1" allowOverlap="1">
            <wp:simplePos x="0" y="0"/>
            <wp:positionH relativeFrom="margin">
              <wp:posOffset>-205740</wp:posOffset>
            </wp:positionH>
            <wp:positionV relativeFrom="margin">
              <wp:posOffset>-216535</wp:posOffset>
            </wp:positionV>
            <wp:extent cx="7556500" cy="10689590"/>
            <wp:effectExtent l="0" t="0" r="6350" b="16510"/>
            <wp:wrapSquare wrapText="bothSides"/>
            <wp:docPr id="3" name="图片 3" descr="C:\Users\Administrator\Desktop\海岸风情-特惠版行程插图-P1-5T.jpg海岸风情-特惠版行程插图-P1-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海岸风情-特惠版行程插图-P1-5T.jpg海岸风情-特惠版行程插图-P1-5T"/>
                    <pic:cNvPicPr>
                      <a:picLocks noChangeAspect="1"/>
                    </pic:cNvPicPr>
                  </pic:nvPicPr>
                  <pic:blipFill>
                    <a:blip r:embed="rId8"/>
                    <a:srcRect/>
                    <a:stretch>
                      <a:fillRect/>
                    </a:stretch>
                  </pic:blipFill>
                  <pic:spPr>
                    <a:xfrm>
                      <a:off x="0" y="0"/>
                      <a:ext cx="7556500" cy="10689590"/>
                    </a:xfrm>
                    <a:prstGeom prst="rect">
                      <a:avLst/>
                    </a:prstGeom>
                  </pic:spPr>
                </pic:pic>
              </a:graphicData>
            </a:graphic>
          </wp:anchor>
        </w:drawing>
      </w:r>
      <w:bookmarkEnd w:id="0"/>
      <w:r>
        <w:br w:type="page"/>
      </w:r>
    </w:p>
    <w:p>
      <w:pPr>
        <w:rPr>
          <w:rFonts w:hint="default"/>
          <w:lang w:val="en-US"/>
        </w:rPr>
      </w:pPr>
      <w:r>
        <w:drawing>
          <wp:anchor distT="0" distB="0" distL="114300" distR="114300" simplePos="0" relativeHeight="251679744" behindDoc="0" locked="0" layoutInCell="1" allowOverlap="1">
            <wp:simplePos x="0" y="0"/>
            <wp:positionH relativeFrom="column">
              <wp:posOffset>-215265</wp:posOffset>
            </wp:positionH>
            <wp:positionV relativeFrom="paragraph">
              <wp:posOffset>-215900</wp:posOffset>
            </wp:positionV>
            <wp:extent cx="7559675" cy="10694035"/>
            <wp:effectExtent l="0" t="0" r="3175" b="12065"/>
            <wp:wrapSquare wrapText="bothSides"/>
            <wp:docPr id="5" name="图片 5" descr="C:\Users\Administrator\Desktop\海岸风情-特惠版行程插图-P2.jpg海岸风情-特惠版行程插图-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海岸风情-特惠版行程插图-P2.jpg海岸风情-特惠版行程插图-P2"/>
                    <pic:cNvPicPr>
                      <a:picLocks noChangeAspect="1"/>
                    </pic:cNvPicPr>
                  </pic:nvPicPr>
                  <pic:blipFill>
                    <a:blip r:embed="rId9"/>
                    <a:srcRect/>
                    <a:stretch>
                      <a:fillRect/>
                    </a:stretch>
                  </pic:blipFill>
                  <pic:spPr>
                    <a:xfrm>
                      <a:off x="0" y="0"/>
                      <a:ext cx="7559675" cy="10694035"/>
                    </a:xfrm>
                    <a:prstGeom prst="rect">
                      <a:avLst/>
                    </a:prstGeom>
                  </pic:spPr>
                </pic:pic>
              </a:graphicData>
            </a:graphic>
          </wp:anchor>
        </w:drawing>
      </w:r>
    </w:p>
    <w:p>
      <w:pPr>
        <w:rPr>
          <w:rFonts w:hint="eastAsia"/>
          <w:lang w:val="en-US" w:eastAsia="zh-CN"/>
        </w:rPr>
      </w:pPr>
      <w:r>
        <w:drawing>
          <wp:anchor distT="0" distB="0" distL="114300" distR="114300" simplePos="0" relativeHeight="251681792" behindDoc="0" locked="0" layoutInCell="1" allowOverlap="1">
            <wp:simplePos x="0" y="0"/>
            <wp:positionH relativeFrom="column">
              <wp:posOffset>-215265</wp:posOffset>
            </wp:positionH>
            <wp:positionV relativeFrom="paragraph">
              <wp:posOffset>-215900</wp:posOffset>
            </wp:positionV>
            <wp:extent cx="7567930" cy="10705465"/>
            <wp:effectExtent l="0" t="0" r="13970" b="635"/>
            <wp:wrapSquare wrapText="bothSides"/>
            <wp:docPr id="4" name="图片 4" descr="C:\Users\Administrator\Desktop\海岸风情-特惠版行程插图-P3.jpg海岸风情-特惠版行程插图-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海岸风情-特惠版行程插图-P3.jpg海岸风情-特惠版行程插图-P3"/>
                    <pic:cNvPicPr>
                      <a:picLocks noChangeAspect="1"/>
                    </pic:cNvPicPr>
                  </pic:nvPicPr>
                  <pic:blipFill>
                    <a:blip r:embed="rId10"/>
                    <a:srcRect/>
                    <a:stretch>
                      <a:fillRect/>
                    </a:stretch>
                  </pic:blipFill>
                  <pic:spPr>
                    <a:xfrm>
                      <a:off x="0" y="0"/>
                      <a:ext cx="7567930" cy="10705465"/>
                    </a:xfrm>
                    <a:prstGeom prst="rect">
                      <a:avLst/>
                    </a:prstGeom>
                  </pic:spPr>
                </pic:pic>
              </a:graphicData>
            </a:graphic>
          </wp:anchor>
        </w:drawing>
      </w:r>
    </w:p>
    <w:tbl>
      <w:tblPr>
        <w:tblStyle w:val="6"/>
        <w:tblW w:w="11225" w:type="dxa"/>
        <w:jc w:val="center"/>
        <w:tblInd w:w="0" w:type="dxa"/>
        <w:tblLayout w:type="fixed"/>
        <w:tblCellMar>
          <w:top w:w="57" w:type="dxa"/>
          <w:left w:w="57" w:type="dxa"/>
          <w:bottom w:w="57" w:type="dxa"/>
          <w:right w:w="57" w:type="dxa"/>
        </w:tblCellMar>
      </w:tblPr>
      <w:tblGrid>
        <w:gridCol w:w="1863"/>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br w:type="page"/>
            </w: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海岸风情（</w:t>
            </w:r>
            <w:r>
              <w:rPr>
                <w:rFonts w:hint="eastAsia" w:ascii="微软雅黑" w:hAnsi="微软雅黑" w:eastAsia="微软雅黑"/>
                <w:b/>
                <w:iCs/>
                <w:color w:val="FFFFFF" w:themeColor="background1"/>
                <w:sz w:val="36"/>
                <w:lang w:eastAsia="zh-CN"/>
                <w14:textFill>
                  <w14:solidFill>
                    <w14:schemeClr w14:val="bg1"/>
                  </w14:solidFill>
                </w14:textFill>
              </w:rPr>
              <w:t>特惠</w:t>
            </w:r>
            <w:r>
              <w:rPr>
                <w:rFonts w:hint="eastAsia" w:ascii="微软雅黑" w:hAnsi="微软雅黑" w:eastAsia="微软雅黑"/>
                <w:b/>
                <w:iCs/>
                <w:color w:val="FFFFFF" w:themeColor="background1"/>
                <w:sz w:val="36"/>
                <w14:textFill>
                  <w14:solidFill>
                    <w14:schemeClr w14:val="bg1"/>
                  </w14:solidFill>
                </w14:textFill>
              </w:rPr>
              <w:t>版）·海南游</w:t>
            </w:r>
          </w:p>
        </w:tc>
      </w:tr>
      <w:tr>
        <w:tblPrEx>
          <w:tblLayout w:type="fixed"/>
          <w:tblCellMar>
            <w:top w:w="57" w:type="dxa"/>
            <w:left w:w="57" w:type="dxa"/>
            <w:bottom w:w="57" w:type="dxa"/>
            <w:right w:w="57" w:type="dxa"/>
          </w:tblCellMar>
        </w:tblPrEx>
        <w:trPr>
          <w:trHeight w:val="446" w:hRule="atLeast"/>
          <w:jc w:val="center"/>
        </w:trPr>
        <w:tc>
          <w:tcPr>
            <w:tcW w:w="8348" w:type="dxa"/>
            <w:gridSpan w:val="3"/>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住宿标准：</w:t>
            </w:r>
          </w:p>
          <w:p>
            <w:pPr>
              <w:spacing w:after="156" w:afterLines="50" w:line="280" w:lineRule="exact"/>
              <w:rPr>
                <w:rFonts w:ascii="宋体" w:hAnsi="宋体"/>
                <w:sz w:val="18"/>
                <w:szCs w:val="18"/>
              </w:rPr>
            </w:pPr>
            <w:r>
              <w:rPr>
                <w:rFonts w:hint="eastAsia" w:ascii="宋体" w:hAnsi="宋体"/>
                <w:sz w:val="18"/>
                <w:szCs w:val="18"/>
              </w:rPr>
              <w:t>全程连住海景房，拥海入眠；</w:t>
            </w:r>
          </w:p>
          <w:p>
            <w:pPr>
              <w:spacing w:line="280" w:lineRule="exact"/>
              <w:rPr>
                <w:rFonts w:ascii="Arial" w:hAnsi="Arial" w:cs="Arial"/>
                <w:b/>
                <w:bCs/>
                <w:color w:val="E60044"/>
                <w:szCs w:val="21"/>
              </w:rPr>
            </w:pPr>
            <w:r>
              <w:rPr>
                <w:rFonts w:hint="eastAsia" w:ascii="Arial" w:hAnsi="Arial" w:cs="Arial"/>
                <w:b/>
                <w:bCs/>
                <w:color w:val="E60044"/>
                <w:szCs w:val="21"/>
              </w:rPr>
              <w:t>特色美食：</w:t>
            </w:r>
          </w:p>
          <w:p>
            <w:pPr>
              <w:spacing w:line="280" w:lineRule="exact"/>
              <w:rPr>
                <w:rFonts w:ascii="宋体" w:hAnsi="宋体"/>
                <w:sz w:val="18"/>
                <w:szCs w:val="18"/>
              </w:rPr>
            </w:pPr>
            <w:r>
              <w:rPr>
                <w:rFonts w:hint="eastAsia" w:ascii="宋体" w:hAnsi="宋体"/>
                <w:sz w:val="18"/>
                <w:szCs w:val="18"/>
              </w:rPr>
              <w:t>早餐酒店早餐，正餐餐标均价达30元/人/餐（自助或围桌），升级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sz w:val="18"/>
                <w:szCs w:val="18"/>
              </w:rPr>
              <w:t>、南山素斋自助餐各1次。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大牌景区：</w:t>
            </w:r>
          </w:p>
          <w:p>
            <w:pPr>
              <w:spacing w:line="280" w:lineRule="exact"/>
              <w:rPr>
                <w:rFonts w:asciiTheme="minorEastAsia" w:hAnsiTheme="minorEastAsia"/>
                <w:sz w:val="18"/>
                <w:szCs w:val="18"/>
              </w:rPr>
            </w:pPr>
            <w:r>
              <w:rPr>
                <w:rFonts w:hint="eastAsia" w:asciiTheme="minorEastAsia" w:hAnsiTheme="minorEastAsia"/>
                <w:sz w:val="18"/>
                <w:szCs w:val="18"/>
              </w:rPr>
              <w:t>5A海岛蜈支洲岛、5A南山文化苑、4A亚龙湾热带天堂、4A天涯海角等。</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贴心服务：</w:t>
            </w:r>
          </w:p>
          <w:p>
            <w:pPr>
              <w:rPr>
                <w:rFonts w:hint="eastAsia" w:ascii="宋体" w:hAnsi="宋体" w:eastAsiaTheme="minorEastAsia"/>
                <w:sz w:val="18"/>
                <w:szCs w:val="18"/>
                <w:lang w:eastAsia="zh-CN"/>
              </w:rPr>
            </w:pPr>
            <w:r>
              <w:rPr>
                <w:rFonts w:hint="eastAsia" w:ascii="宋体" w:hAnsi="宋体"/>
                <w:sz w:val="18"/>
                <w:szCs w:val="18"/>
              </w:rPr>
              <w:t>全程品牌矿泉水1瓶/人/天，旅行社责任险</w:t>
            </w:r>
            <w:r>
              <w:rPr>
                <w:rFonts w:hint="eastAsia" w:ascii="宋体" w:hAnsi="宋体"/>
                <w:sz w:val="18"/>
                <w:szCs w:val="18"/>
                <w:lang w:eastAsia="zh-CN"/>
              </w:rPr>
              <w:t>。</w:t>
            </w:r>
          </w:p>
          <w:p>
            <w:pPr>
              <w:rPr>
                <w:rFonts w:asciiTheme="minorEastAsia" w:hAnsiTheme="minorEastAsia"/>
                <w:sz w:val="18"/>
                <w:szCs w:val="18"/>
              </w:rPr>
            </w:pPr>
          </w:p>
        </w:tc>
      </w:tr>
      <w:tr>
        <w:tblPrEx>
          <w:tblLayout w:type="fixed"/>
          <w:tblCellMar>
            <w:top w:w="57" w:type="dxa"/>
            <w:left w:w="57" w:type="dxa"/>
            <w:bottom w:w="57" w:type="dxa"/>
            <w:right w:w="57" w:type="dxa"/>
          </w:tblCellMar>
        </w:tblPrEx>
        <w:trPr>
          <w:trHeight w:val="1193" w:hRule="atLeast"/>
          <w:jc w:val="center"/>
        </w:trPr>
        <w:tc>
          <w:tcPr>
            <w:tcW w:w="1863" w:type="dxa"/>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spacing w:line="32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501"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5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0" w:beforeAutospacing="0" w:after="0" w:afterAutospacing="0" w:line="25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line="250" w:lineRule="exact"/>
              <w:rPr>
                <w:sz w:val="18"/>
                <w:szCs w:val="18"/>
              </w:rPr>
            </w:pPr>
            <w:r>
              <w:rPr>
                <w:rFonts w:hint="eastAsia" w:ascii="宋体" w:hAnsi="宋体"/>
                <w:color w:val="E60044"/>
                <w:sz w:val="18"/>
                <w:szCs w:val="18"/>
              </w:rPr>
              <w:t>住宿安排：</w:t>
            </w:r>
            <w:r>
              <w:rPr>
                <w:rFonts w:hint="eastAsia"/>
                <w:sz w:val="18"/>
                <w:szCs w:val="18"/>
              </w:rPr>
              <w:t>指定酒店</w:t>
            </w:r>
          </w:p>
          <w:p>
            <w:pPr>
              <w:spacing w:line="25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60" w:lineRule="exact"/>
              <w:rPr>
                <w:b/>
                <w:bCs/>
                <w:color w:val="E60044"/>
                <w:sz w:val="18"/>
                <w:szCs w:val="18"/>
              </w:rPr>
            </w:pPr>
            <w:r>
              <w:rPr>
                <w:rFonts w:hint="eastAsia"/>
                <w:color w:val="E60044"/>
                <w:sz w:val="18"/>
                <w:szCs w:val="18"/>
              </w:rPr>
              <w:t>景点安排：</w:t>
            </w:r>
            <w:r>
              <w:rPr>
                <w:rFonts w:hint="eastAsia"/>
                <w:b/>
                <w:bCs/>
                <w:color w:val="E60044"/>
                <w:sz w:val="18"/>
                <w:szCs w:val="18"/>
                <w:lang w:val="zh-TW" w:eastAsia="zh-TW"/>
              </w:rPr>
              <w:t>天涯海角</w:t>
            </w:r>
            <w:r>
              <w:rPr>
                <w:rFonts w:hint="eastAsia"/>
                <w:b/>
                <w:bCs/>
                <w:color w:val="E60044"/>
                <w:sz w:val="18"/>
                <w:szCs w:val="18"/>
              </w:rPr>
              <w:t>—南山佛教文化苑—</w:t>
            </w:r>
            <w:r>
              <w:rPr>
                <w:rFonts w:hint="eastAsia"/>
                <w:b/>
                <w:bCs/>
                <w:color w:val="E60044"/>
                <w:sz w:val="18"/>
                <w:szCs w:val="18"/>
                <w:lang w:val="zh-TW"/>
              </w:rPr>
              <w:t>热带农业示范基地</w:t>
            </w:r>
          </w:p>
          <w:p>
            <w:pPr>
              <w:spacing w:line="26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0" w:beforeAutospacing="0" w:after="0" w:afterAutospacing="0" w:line="26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line="26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（游览时间不少于90分钟），在这里了解海南独特的天然橡胶文化，秉承“科技、环保、健康、时尚”的理念，精湛制作各种工艺产品，打造轻松休闲的生活方式。</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6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中餐：南山素斋特色餐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60" w:lineRule="exact"/>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美丽商城—亚龙湾天堂森林公园—亚龙湾玫瑰谷</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spacing w:line="260" w:lineRule="exact"/>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line="250" w:lineRule="exact"/>
              <w:rPr>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color w:val="262626" w:themeColor="text1" w:themeTint="D9"/>
                <w:sz w:val="18"/>
                <w:szCs w:val="18"/>
                <w14:textFill>
                  <w14:solidFill>
                    <w14:schemeClr w14:val="tx1">
                      <w14:lumMod w14:val="85000"/>
                      <w14:lumOff w14:val="15000"/>
                    </w14:schemeClr>
                  </w14:solidFill>
                </w14:textFill>
              </w:rPr>
              <w:t>（不少于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分钟）以“美丽·浪漫·爱”为主题的亚洲规模最大的亚龙湾国际玫瑰谷，徜徉在玫瑰花海之中，奔赴一场极致浪漫的玫瑰之约。</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6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171" w:hRule="atLeast"/>
          <w:jc w:val="center"/>
        </w:trPr>
        <w:tc>
          <w:tcPr>
            <w:tcW w:w="1863" w:type="dxa"/>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0CECE" w:themeColor="background2" w:themeShade="E6" w:sz="4" w:space="0"/>
            </w:tcBorders>
            <w:shd w:val="clear" w:color="auto" w:fill="auto"/>
            <w:vAlign w:val="center"/>
          </w:tcPr>
          <w:p>
            <w:pPr>
              <w:rPr>
                <w:rFonts w:asciiTheme="minorEastAsia" w:hAnsiTheme="minorEastAsia"/>
                <w:sz w:val="18"/>
                <w:szCs w:val="18"/>
              </w:rPr>
            </w:pPr>
            <w:r>
              <w:rPr>
                <w:rFonts w:hint="eastAsia"/>
                <w:sz w:val="18"/>
                <w:szCs w:val="18"/>
                <w:lang w:val="zh-TW"/>
              </w:rPr>
              <w:t>专人送机，乘机返回温馨家园（酒店退房时间为中午12点前）。</w:t>
            </w:r>
          </w:p>
          <w:p>
            <w:pPr>
              <w:rPr>
                <w:sz w:val="18"/>
                <w:szCs w:val="18"/>
                <w:lang w:val="zh-TW"/>
              </w:rPr>
            </w:pPr>
            <w:r>
              <w:rPr>
                <w:rFonts w:hint="eastAsia"/>
                <w:color w:val="C00000"/>
                <w:sz w:val="18"/>
                <w:szCs w:val="18"/>
                <w:lang w:val="zh-TW"/>
              </w:rPr>
              <w:t>餐饮安排：</w:t>
            </w:r>
            <w:r>
              <w:rPr>
                <w:rFonts w:hint="eastAsia"/>
                <w:sz w:val="18"/>
                <w:szCs w:val="18"/>
                <w:lang w:val="zh-TW"/>
              </w:rPr>
              <w:t>早餐：酒店用餐</w:t>
            </w:r>
            <w:r>
              <w:rPr>
                <w:sz w:val="18"/>
                <w:szCs w:val="18"/>
                <w:lang w:val="zh-TW"/>
              </w:rPr>
              <w:t xml:space="preserve">   </w:t>
            </w:r>
            <w:r>
              <w:rPr>
                <w:rFonts w:hint="eastAsia"/>
                <w:sz w:val="18"/>
                <w:szCs w:val="18"/>
                <w:lang w:val="zh-TW"/>
              </w:rPr>
              <w:t>中餐：自理</w:t>
            </w:r>
            <w:r>
              <w:rPr>
                <w:sz w:val="18"/>
                <w:szCs w:val="18"/>
                <w:lang w:val="zh-TW"/>
              </w:rPr>
              <w:t xml:space="preserve">   </w:t>
            </w:r>
            <w:r>
              <w:rPr>
                <w:rFonts w:hint="eastAsia"/>
                <w:sz w:val="18"/>
                <w:szCs w:val="18"/>
                <w:lang w:val="zh-TW"/>
              </w:rPr>
              <w:t>晚餐：自理</w:t>
            </w:r>
          </w:p>
          <w:p>
            <w:pPr>
              <w:spacing w:line="280"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bl>
    <w:p>
      <w:r>
        <w:br w:type="page"/>
      </w:r>
    </w:p>
    <w:tbl>
      <w:tblPr>
        <w:tblStyle w:val="6"/>
        <w:tblW w:w="11225" w:type="dxa"/>
        <w:jc w:val="center"/>
        <w:tblInd w:w="0" w:type="dxa"/>
        <w:tblLayout w:type="fixed"/>
        <w:tblCellMar>
          <w:top w:w="113" w:type="dxa"/>
          <w:left w:w="57" w:type="dxa"/>
          <w:bottom w:w="113" w:type="dxa"/>
          <w:right w:w="57" w:type="dxa"/>
        </w:tblCellMar>
      </w:tblPr>
      <w:tblGrid>
        <w:gridCol w:w="1689"/>
        <w:gridCol w:w="9536"/>
      </w:tblGrid>
      <w:tr>
        <w:tblPrEx>
          <w:tblLayout w:type="fixed"/>
          <w:tblCellMar>
            <w:top w:w="113" w:type="dxa"/>
            <w:left w:w="57" w:type="dxa"/>
            <w:bottom w:w="113" w:type="dxa"/>
            <w:right w:w="57" w:type="dxa"/>
          </w:tblCellMar>
        </w:tblPrEx>
        <w:trPr>
          <w:trHeight w:val="270" w:hRule="atLeast"/>
          <w:jc w:val="center"/>
        </w:trPr>
        <w:tc>
          <w:tcPr>
            <w:tcW w:w="11225" w:type="dxa"/>
            <w:gridSpan w:val="2"/>
            <w:tcBorders>
              <w:bottom w:val="single" w:color="E60044" w:sz="4" w:space="0"/>
              <w:tl2br w:val="nil"/>
              <w:tr2bl w:val="nil"/>
            </w:tcBorders>
            <w:shd w:val="clear" w:color="auto" w:fill="auto"/>
            <w:vAlign w:val="center"/>
          </w:tcPr>
          <w:p>
            <w:pPr>
              <w:jc w:val="center"/>
              <w:rPr>
                <w:color w:val="E60044"/>
              </w:rPr>
            </w:pPr>
            <w:r>
              <w:br w:type="page"/>
            </w:r>
            <w:r>
              <w:br w:type="page"/>
            </w: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2382" w:hRule="atLeast"/>
          <w:jc w:val="center"/>
        </w:trPr>
        <w:tc>
          <w:tcPr>
            <w:tcW w:w="11225" w:type="dxa"/>
            <w:gridSpan w:val="2"/>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三亚一地，全程连住</w:t>
            </w:r>
            <w:r>
              <w:rPr>
                <w:rFonts w:hint="eastAsia" w:ascii="宋体" w:hAnsi="宋体" w:eastAsia="宋体" w:cs="宋体"/>
                <w:color w:val="262626" w:themeColor="text1" w:themeTint="D9"/>
                <w:sz w:val="18"/>
                <w:szCs w:val="18"/>
                <w:lang w:eastAsia="zh-CN"/>
                <w14:textFill>
                  <w14:solidFill>
                    <w14:schemeClr w14:val="tx1">
                      <w14:lumMod w14:val="85000"/>
                      <w14:lumOff w14:val="15000"/>
                    </w14:schemeClr>
                  </w14:solidFill>
                </w14:textFill>
              </w:rPr>
              <w:t>三亚</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海景房；</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正4早，正餐标30元/人/餐；升级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、南山素斋自助餐各1次；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优秀持证专业导游，幽默风趣耐心解说、贴心细致管家式服务；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jc w:val="center"/>
        </w:trPr>
        <w:tc>
          <w:tcPr>
            <w:tcW w:w="11225" w:type="dxa"/>
            <w:gridSpan w:val="2"/>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213"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hint="eastAsia" w:ascii="宋体" w:hAnsi="宋体" w:eastAsiaTheme="minorEastAsia"/>
                <w:color w:val="262626" w:themeColor="text1" w:themeTint="D9"/>
                <w:sz w:val="18"/>
                <w:szCs w:val="18"/>
                <w:lang w:eastAsia="zh-CN"/>
                <w14:textFill>
                  <w14:solidFill>
                    <w14:schemeClr w14:val="tx1">
                      <w14:lumMod w14:val="85000"/>
                      <w14:lumOff w14:val="15000"/>
                    </w14:schemeClr>
                  </w14:solidFill>
                </w14:textFill>
              </w:rPr>
            </w:pPr>
            <w:r>
              <w:rPr>
                <w:rFonts w:hint="eastAsia" w:ascii="宋体" w:hAnsi="宋体"/>
                <w:color w:val="262626" w:themeColor="text1" w:themeTint="D9"/>
                <w:sz w:val="18"/>
                <w:szCs w:val="18"/>
                <w:lang w:eastAsia="zh-CN"/>
                <w14:textFill>
                  <w14:solidFill>
                    <w14:schemeClr w14:val="tx1">
                      <w14:lumMod w14:val="85000"/>
                      <w14:lumOff w14:val="15000"/>
                    </w14:schemeClr>
                  </w14:solidFill>
                </w14:textFill>
              </w:rPr>
              <w:t>君锦主楼海景房、鲁迅海景房、海虹海景、马兰花海景</w:t>
            </w:r>
          </w:p>
        </w:tc>
      </w:tr>
      <w:tr>
        <w:tblPrEx>
          <w:tblLayout w:type="fixed"/>
          <w:tblCellMar>
            <w:top w:w="113" w:type="dxa"/>
            <w:left w:w="57" w:type="dxa"/>
            <w:bottom w:w="113" w:type="dxa"/>
            <w:right w:w="57" w:type="dxa"/>
          </w:tblCellMar>
        </w:tblPrEx>
        <w:trPr>
          <w:trHeight w:val="596" w:hRule="atLeast"/>
          <w:jc w:val="center"/>
        </w:trPr>
        <w:tc>
          <w:tcPr>
            <w:tcW w:w="11225" w:type="dxa"/>
            <w:gridSpan w:val="2"/>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203"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12、本线路全程不推荐任何行程外购物店，海上自愿娱乐项目、景区内交通工具及特色演出均为游客自行自愿选择（</w:t>
            </w:r>
            <w:r>
              <w:rPr>
                <w:rFonts w:hint="eastAsia" w:asciiTheme="minorEastAsia" w:hAnsiTheme="minorEastAsia" w:cstheme="minorEastAsia"/>
                <w:b/>
                <w:sz w:val="18"/>
                <w:szCs w:val="21"/>
              </w:rPr>
              <w:t>夜游三亚湾288元/人、千古情演绎300元/人、红色娘子军演出260元/人,</w:t>
            </w:r>
            <w:r>
              <w:rPr>
                <w:rFonts w:hint="eastAsia" w:asciiTheme="minorEastAsia" w:hAnsiTheme="minorEastAsia" w:cstheme="minorEastAsia"/>
                <w:sz w:val="18"/>
                <w:szCs w:val="21"/>
              </w:rPr>
              <w:t>实际价格请以运营商公布为准）。景区内购物，海南部分景区及酒店为方便旅游者有自设的商场及购物场所，并非我社安排的旅游购物店，属于第三方与您之间自愿行为，此类投诉我社无法受理，敬请谅解。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A87" w:usb1="00000000" w:usb2="00000000" w:usb3="00000000" w:csb0="400001BF" w:csb1="DFF7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136A2"/>
    <w:rsid w:val="00023C3B"/>
    <w:rsid w:val="000912D2"/>
    <w:rsid w:val="000A07CA"/>
    <w:rsid w:val="000D4D56"/>
    <w:rsid w:val="000E0E0E"/>
    <w:rsid w:val="00161232"/>
    <w:rsid w:val="00172F29"/>
    <w:rsid w:val="0017458C"/>
    <w:rsid w:val="001836B3"/>
    <w:rsid w:val="001848FA"/>
    <w:rsid w:val="001862AA"/>
    <w:rsid w:val="001A5209"/>
    <w:rsid w:val="001B3ADC"/>
    <w:rsid w:val="001E0F57"/>
    <w:rsid w:val="00213316"/>
    <w:rsid w:val="0025225E"/>
    <w:rsid w:val="00271681"/>
    <w:rsid w:val="002950DF"/>
    <w:rsid w:val="002A03A9"/>
    <w:rsid w:val="002D60CC"/>
    <w:rsid w:val="002E6413"/>
    <w:rsid w:val="00310CC0"/>
    <w:rsid w:val="00314796"/>
    <w:rsid w:val="0032258A"/>
    <w:rsid w:val="00324C8A"/>
    <w:rsid w:val="003C16C9"/>
    <w:rsid w:val="003E4DE4"/>
    <w:rsid w:val="00413D82"/>
    <w:rsid w:val="0045533E"/>
    <w:rsid w:val="00473CE0"/>
    <w:rsid w:val="00474B5E"/>
    <w:rsid w:val="004B705B"/>
    <w:rsid w:val="00511B5A"/>
    <w:rsid w:val="00517CEA"/>
    <w:rsid w:val="00534DD7"/>
    <w:rsid w:val="0053504E"/>
    <w:rsid w:val="005449FD"/>
    <w:rsid w:val="005805A8"/>
    <w:rsid w:val="00592EE4"/>
    <w:rsid w:val="005B2C13"/>
    <w:rsid w:val="005C3869"/>
    <w:rsid w:val="005C437F"/>
    <w:rsid w:val="005E19DF"/>
    <w:rsid w:val="005E7C00"/>
    <w:rsid w:val="005E7F9C"/>
    <w:rsid w:val="005F49A1"/>
    <w:rsid w:val="00607267"/>
    <w:rsid w:val="00615F52"/>
    <w:rsid w:val="006A7574"/>
    <w:rsid w:val="006C388D"/>
    <w:rsid w:val="007605D7"/>
    <w:rsid w:val="00780BF5"/>
    <w:rsid w:val="007D41E1"/>
    <w:rsid w:val="007F6BD4"/>
    <w:rsid w:val="0084574A"/>
    <w:rsid w:val="00845D39"/>
    <w:rsid w:val="00850BF9"/>
    <w:rsid w:val="00871216"/>
    <w:rsid w:val="008743B4"/>
    <w:rsid w:val="00890E94"/>
    <w:rsid w:val="00893634"/>
    <w:rsid w:val="008C2FE6"/>
    <w:rsid w:val="008F3246"/>
    <w:rsid w:val="00965DDE"/>
    <w:rsid w:val="00984B67"/>
    <w:rsid w:val="009B433C"/>
    <w:rsid w:val="009C0BCC"/>
    <w:rsid w:val="009D0B20"/>
    <w:rsid w:val="00A16405"/>
    <w:rsid w:val="00A175FB"/>
    <w:rsid w:val="00A31101"/>
    <w:rsid w:val="00A45BFB"/>
    <w:rsid w:val="00A56508"/>
    <w:rsid w:val="00A9319F"/>
    <w:rsid w:val="00AB0206"/>
    <w:rsid w:val="00AB06F8"/>
    <w:rsid w:val="00AB411B"/>
    <w:rsid w:val="00AB4229"/>
    <w:rsid w:val="00AC4005"/>
    <w:rsid w:val="00AF0701"/>
    <w:rsid w:val="00B30C1E"/>
    <w:rsid w:val="00B419CC"/>
    <w:rsid w:val="00B55630"/>
    <w:rsid w:val="00BE52AA"/>
    <w:rsid w:val="00BF0D67"/>
    <w:rsid w:val="00BF20EE"/>
    <w:rsid w:val="00BF6553"/>
    <w:rsid w:val="00C24052"/>
    <w:rsid w:val="00C63A98"/>
    <w:rsid w:val="00CC46AA"/>
    <w:rsid w:val="00CE7536"/>
    <w:rsid w:val="00D01D2B"/>
    <w:rsid w:val="00D11F44"/>
    <w:rsid w:val="00D22FF6"/>
    <w:rsid w:val="00D43E3F"/>
    <w:rsid w:val="00D511FC"/>
    <w:rsid w:val="00D5397C"/>
    <w:rsid w:val="00D67FA3"/>
    <w:rsid w:val="00D76043"/>
    <w:rsid w:val="00DC2108"/>
    <w:rsid w:val="00DC2BCD"/>
    <w:rsid w:val="00DC49FB"/>
    <w:rsid w:val="00DE32ED"/>
    <w:rsid w:val="00DF5895"/>
    <w:rsid w:val="00E16440"/>
    <w:rsid w:val="00E24038"/>
    <w:rsid w:val="00E50563"/>
    <w:rsid w:val="00E627C6"/>
    <w:rsid w:val="00E84C75"/>
    <w:rsid w:val="00EB0AF1"/>
    <w:rsid w:val="00EB305D"/>
    <w:rsid w:val="00EC356B"/>
    <w:rsid w:val="00F03C93"/>
    <w:rsid w:val="00F06DE7"/>
    <w:rsid w:val="00F10CB4"/>
    <w:rsid w:val="00F16741"/>
    <w:rsid w:val="00F20973"/>
    <w:rsid w:val="00F54BD5"/>
    <w:rsid w:val="00F72194"/>
    <w:rsid w:val="00F932C2"/>
    <w:rsid w:val="00FA0B0C"/>
    <w:rsid w:val="00FC002F"/>
    <w:rsid w:val="00FE3D9A"/>
    <w:rsid w:val="00FF32F6"/>
    <w:rsid w:val="00FF61F8"/>
    <w:rsid w:val="01786AC3"/>
    <w:rsid w:val="02E8169C"/>
    <w:rsid w:val="037064A6"/>
    <w:rsid w:val="04341ED4"/>
    <w:rsid w:val="05EA05B9"/>
    <w:rsid w:val="060B3707"/>
    <w:rsid w:val="0670068F"/>
    <w:rsid w:val="07EB79D6"/>
    <w:rsid w:val="08A73B07"/>
    <w:rsid w:val="09956601"/>
    <w:rsid w:val="0B952A4F"/>
    <w:rsid w:val="0BA115A6"/>
    <w:rsid w:val="0D6367E4"/>
    <w:rsid w:val="0FB05496"/>
    <w:rsid w:val="10601B8A"/>
    <w:rsid w:val="135974B5"/>
    <w:rsid w:val="14DD2A45"/>
    <w:rsid w:val="150A19EE"/>
    <w:rsid w:val="15B711EC"/>
    <w:rsid w:val="17335D53"/>
    <w:rsid w:val="17784F52"/>
    <w:rsid w:val="17C82FF6"/>
    <w:rsid w:val="19AC2213"/>
    <w:rsid w:val="1C627327"/>
    <w:rsid w:val="1FBF6507"/>
    <w:rsid w:val="20AA2152"/>
    <w:rsid w:val="213329CA"/>
    <w:rsid w:val="221456E5"/>
    <w:rsid w:val="225D208B"/>
    <w:rsid w:val="22E94D4D"/>
    <w:rsid w:val="2436699F"/>
    <w:rsid w:val="258955DB"/>
    <w:rsid w:val="281818F4"/>
    <w:rsid w:val="29D5459D"/>
    <w:rsid w:val="2A7F2244"/>
    <w:rsid w:val="2B4262A0"/>
    <w:rsid w:val="2BE222CE"/>
    <w:rsid w:val="2C644E5F"/>
    <w:rsid w:val="2D0D48B7"/>
    <w:rsid w:val="2DEB7D19"/>
    <w:rsid w:val="30DB5145"/>
    <w:rsid w:val="31015BBD"/>
    <w:rsid w:val="32E9253F"/>
    <w:rsid w:val="371157D7"/>
    <w:rsid w:val="386D1B20"/>
    <w:rsid w:val="39B73441"/>
    <w:rsid w:val="39E40528"/>
    <w:rsid w:val="3A6401D0"/>
    <w:rsid w:val="40C63115"/>
    <w:rsid w:val="42C0786B"/>
    <w:rsid w:val="441F1D8E"/>
    <w:rsid w:val="44AC71E3"/>
    <w:rsid w:val="455005EE"/>
    <w:rsid w:val="459D00E8"/>
    <w:rsid w:val="46030AE7"/>
    <w:rsid w:val="474C2A2A"/>
    <w:rsid w:val="4A054215"/>
    <w:rsid w:val="4D0C0565"/>
    <w:rsid w:val="4D1F6E36"/>
    <w:rsid w:val="4ECC72E7"/>
    <w:rsid w:val="4F2D7844"/>
    <w:rsid w:val="508B2248"/>
    <w:rsid w:val="50EF1F76"/>
    <w:rsid w:val="511D4FF2"/>
    <w:rsid w:val="52D54F5B"/>
    <w:rsid w:val="52ED35BA"/>
    <w:rsid w:val="534F4535"/>
    <w:rsid w:val="55A47791"/>
    <w:rsid w:val="58451BBE"/>
    <w:rsid w:val="5A1F4B21"/>
    <w:rsid w:val="5BA37DB5"/>
    <w:rsid w:val="5CF4716A"/>
    <w:rsid w:val="5D1B22F7"/>
    <w:rsid w:val="60AB3B68"/>
    <w:rsid w:val="61A902A4"/>
    <w:rsid w:val="61EA58CC"/>
    <w:rsid w:val="64BD2ACA"/>
    <w:rsid w:val="65B77652"/>
    <w:rsid w:val="66B80760"/>
    <w:rsid w:val="6B7F7D43"/>
    <w:rsid w:val="6BB32CBF"/>
    <w:rsid w:val="6D301E87"/>
    <w:rsid w:val="6F6E2C29"/>
    <w:rsid w:val="6FFC6A05"/>
    <w:rsid w:val="701E7300"/>
    <w:rsid w:val="717A4E8E"/>
    <w:rsid w:val="738E2FE7"/>
    <w:rsid w:val="740C1D6B"/>
    <w:rsid w:val="76052EAE"/>
    <w:rsid w:val="76865A7E"/>
    <w:rsid w:val="778B1DFE"/>
    <w:rsid w:val="7C100E4F"/>
    <w:rsid w:val="7CD32F0E"/>
    <w:rsid w:val="7D113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58DAE1-2552-4E48-A2CD-1F2C3898A47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4064</Words>
  <Characters>251</Characters>
  <Lines>2</Lines>
  <Paragraphs>8</Paragraphs>
  <TotalTime>8</TotalTime>
  <ScaleCrop>false</ScaleCrop>
  <LinksUpToDate>false</LinksUpToDate>
  <CharactersWithSpaces>4307</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林秋琦</cp:lastModifiedBy>
  <dcterms:modified xsi:type="dcterms:W3CDTF">2019-10-11T07:19:28Z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