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r>
        <w:drawing>
          <wp:anchor distT="0" distB="0" distL="114300" distR="114300" simplePos="0" relativeHeight="251748352" behindDoc="0" locked="0" layoutInCell="1" allowOverlap="1">
            <wp:simplePos x="0" y="0"/>
            <wp:positionH relativeFrom="column">
              <wp:posOffset>455295</wp:posOffset>
            </wp:positionH>
            <wp:positionV relativeFrom="paragraph">
              <wp:posOffset>-6721475</wp:posOffset>
            </wp:positionV>
            <wp:extent cx="574675" cy="343535"/>
            <wp:effectExtent l="0" t="0" r="15875" b="18415"/>
            <wp:wrapNone/>
            <wp:docPr id="3" name="图片 3" descr="0等待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等待标志"/>
                    <pic:cNvPicPr>
                      <a:picLocks noChangeAspect="1"/>
                    </pic:cNvPicPr>
                  </pic:nvPicPr>
                  <pic:blipFill>
                    <a:blip r:embed="rId6"/>
                    <a:stretch>
                      <a:fillRect/>
                    </a:stretch>
                  </pic:blipFill>
                  <pic:spPr>
                    <a:xfrm>
                      <a:off x="0" y="0"/>
                      <a:ext cx="574675" cy="343535"/>
                    </a:xfrm>
                    <a:prstGeom prst="rect">
                      <a:avLst/>
                    </a:prstGeom>
                  </pic:spPr>
                </pic:pic>
              </a:graphicData>
            </a:graphic>
          </wp:anchor>
        </w:drawing>
      </w:r>
      <w:bookmarkStart w:id="0" w:name="_GoBack"/>
      <w:r>
        <w:rPr>
          <w:rFonts w:hint="eastAsia" w:eastAsiaTheme="minorEastAsia"/>
          <w:lang w:eastAsia="zh-CN"/>
        </w:rPr>
        <w:drawing>
          <wp:anchor distT="0" distB="0" distL="114300" distR="114300" simplePos="0" relativeHeight="251798528" behindDoc="0" locked="0" layoutInCell="1" allowOverlap="1">
            <wp:simplePos x="0" y="0"/>
            <wp:positionH relativeFrom="column">
              <wp:posOffset>6011545</wp:posOffset>
            </wp:positionH>
            <wp:positionV relativeFrom="paragraph">
              <wp:posOffset>-9639300</wp:posOffset>
            </wp:positionV>
            <wp:extent cx="746125" cy="360045"/>
            <wp:effectExtent l="0" t="0" r="15875" b="1905"/>
            <wp:wrapNone/>
            <wp:docPr id="5" name="图片 5" descr="好宜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好宜游"/>
                    <pic:cNvPicPr>
                      <a:picLocks noChangeAspect="1"/>
                    </pic:cNvPicPr>
                  </pic:nvPicPr>
                  <pic:blipFill>
                    <a:blip r:embed="rId7"/>
                    <a:stretch>
                      <a:fillRect/>
                    </a:stretch>
                  </pic:blipFill>
                  <pic:spPr>
                    <a:xfrm>
                      <a:off x="0" y="0"/>
                      <a:ext cx="746125" cy="360045"/>
                    </a:xfrm>
                    <a:prstGeom prst="rect">
                      <a:avLst/>
                    </a:prstGeom>
                  </pic:spPr>
                </pic:pic>
              </a:graphicData>
            </a:graphic>
          </wp:anchor>
        </w:drawing>
      </w:r>
      <w:bookmarkEnd w:id="0"/>
      <w:r>
        <w:drawing>
          <wp:anchor distT="0" distB="0" distL="114300" distR="114300" simplePos="0" relativeHeight="251656192" behindDoc="1" locked="0" layoutInCell="1" allowOverlap="1">
            <wp:simplePos x="0" y="0"/>
            <wp:positionH relativeFrom="margin">
              <wp:posOffset>-257810</wp:posOffset>
            </wp:positionH>
            <wp:positionV relativeFrom="margin">
              <wp:posOffset>-224155</wp:posOffset>
            </wp:positionV>
            <wp:extent cx="7614920" cy="10772140"/>
            <wp:effectExtent l="0" t="0" r="5080" b="10160"/>
            <wp:wrapSquare wrapText="bothSides"/>
            <wp:docPr id="4" name="图片 4" descr="C:\Users\Administrator\Desktop\海岸风情-海韵版行程插图-三亚6天.jpg海岸风情-海韵版行程插图-三亚6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海岸风情-海韵版行程插图-三亚6天.jpg海岸风情-海韵版行程插图-三亚6天"/>
                    <pic:cNvPicPr>
                      <a:picLocks noChangeAspect="1"/>
                    </pic:cNvPicPr>
                  </pic:nvPicPr>
                  <pic:blipFill>
                    <a:blip r:embed="rId8"/>
                    <a:srcRect/>
                    <a:stretch>
                      <a:fillRect/>
                    </a:stretch>
                  </pic:blipFill>
                  <pic:spPr>
                    <a:xfrm>
                      <a:off x="0" y="0"/>
                      <a:ext cx="7614920" cy="10772140"/>
                    </a:xfrm>
                    <a:prstGeom prst="rect">
                      <a:avLst/>
                    </a:prstGeom>
                  </pic:spPr>
                </pic:pic>
              </a:graphicData>
            </a:graphic>
          </wp:anchor>
        </w:drawing>
      </w:r>
      <w:r>
        <w:br w:type="page"/>
      </w:r>
    </w:p>
    <w:p>
      <w:r>
        <w:drawing>
          <wp:anchor distT="0" distB="0" distL="114300" distR="114300" simplePos="0" relativeHeight="251721728" behindDoc="0" locked="0" layoutInCell="1" allowOverlap="1">
            <wp:simplePos x="0" y="0"/>
            <wp:positionH relativeFrom="column">
              <wp:posOffset>-214630</wp:posOffset>
            </wp:positionH>
            <wp:positionV relativeFrom="paragraph">
              <wp:posOffset>-215900</wp:posOffset>
            </wp:positionV>
            <wp:extent cx="7553960" cy="10685780"/>
            <wp:effectExtent l="0" t="0" r="8890" b="127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3960" cy="10685780"/>
                    </a:xfrm>
                    <a:prstGeom prst="rect">
                      <a:avLst/>
                    </a:prstGeom>
                  </pic:spPr>
                </pic:pic>
              </a:graphicData>
            </a:graphic>
          </wp:anchor>
        </w:drawing>
      </w:r>
      <w:r>
        <w:br w:type="page"/>
      </w:r>
    </w:p>
    <w:p>
      <w:r>
        <w:drawing>
          <wp:anchor distT="0" distB="0" distL="114300" distR="114300" simplePos="0" relativeHeight="251723776" behindDoc="0" locked="0" layoutInCell="1" allowOverlap="1">
            <wp:simplePos x="0" y="0"/>
            <wp:positionH relativeFrom="column">
              <wp:posOffset>-215900</wp:posOffset>
            </wp:positionH>
            <wp:positionV relativeFrom="paragraph">
              <wp:posOffset>-215900</wp:posOffset>
            </wp:positionV>
            <wp:extent cx="7573645" cy="10712450"/>
            <wp:effectExtent l="0" t="0" r="8255"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3645" cy="10712450"/>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689"/>
        <w:gridCol w:w="174"/>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6"/>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1"/>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海岸风情（海韵版）·海南游</w:t>
            </w:r>
          </w:p>
        </w:tc>
      </w:tr>
      <w:tr>
        <w:tblPrEx>
          <w:tblLayout w:type="fixed"/>
          <w:tblCellMar>
            <w:top w:w="57" w:type="dxa"/>
            <w:left w:w="57" w:type="dxa"/>
            <w:bottom w:w="57" w:type="dxa"/>
            <w:right w:w="57" w:type="dxa"/>
          </w:tblCellMar>
        </w:tblPrEx>
        <w:trPr>
          <w:trHeight w:val="90" w:hRule="atLeast"/>
          <w:jc w:val="center"/>
        </w:trPr>
        <w:tc>
          <w:tcPr>
            <w:tcW w:w="8348" w:type="dxa"/>
            <w:gridSpan w:val="4"/>
            <w:tcBorders>
              <w:bottom w:val="single" w:color="C00000"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C00000"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90" w:hRule="atLeast"/>
          <w:jc w:val="center"/>
        </w:trPr>
        <w:tc>
          <w:tcPr>
            <w:tcW w:w="1863" w:type="dxa"/>
            <w:gridSpan w:val="2"/>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住宿标准：</w:t>
            </w:r>
          </w:p>
          <w:p>
            <w:pPr>
              <w:spacing w:after="156" w:afterLines="50" w:line="280" w:lineRule="exact"/>
              <w:rPr>
                <w:rFonts w:ascii="宋体" w:hAnsi="宋体"/>
                <w:sz w:val="18"/>
                <w:szCs w:val="18"/>
              </w:rPr>
            </w:pPr>
            <w:r>
              <w:rPr>
                <w:rFonts w:hint="eastAsia" w:ascii="宋体" w:hAnsi="宋体"/>
                <w:sz w:val="18"/>
                <w:szCs w:val="18"/>
              </w:rPr>
              <w:t>全程连住三亚海韵度假酒店，沙滩漫步；</w:t>
            </w:r>
          </w:p>
          <w:p>
            <w:pPr>
              <w:spacing w:line="280" w:lineRule="exact"/>
              <w:rPr>
                <w:rFonts w:ascii="Arial" w:hAnsi="Arial" w:cs="Arial"/>
                <w:b/>
                <w:bCs/>
                <w:color w:val="E60044"/>
                <w:szCs w:val="21"/>
              </w:rPr>
            </w:pPr>
            <w:r>
              <w:rPr>
                <w:rFonts w:hint="eastAsia" w:ascii="Arial" w:hAnsi="Arial" w:cs="Arial"/>
                <w:b/>
                <w:bCs/>
                <w:color w:val="E60044"/>
                <w:szCs w:val="21"/>
              </w:rPr>
              <w:t>特色美食：</w:t>
            </w:r>
          </w:p>
          <w:p>
            <w:pPr>
              <w:spacing w:line="280" w:lineRule="exact"/>
              <w:rPr>
                <w:rFonts w:ascii="宋体" w:hAnsi="宋体"/>
                <w:sz w:val="18"/>
                <w:szCs w:val="18"/>
              </w:rPr>
            </w:pPr>
            <w:r>
              <w:rPr>
                <w:rFonts w:hint="eastAsia" w:ascii="宋体" w:hAnsi="宋体"/>
                <w:sz w:val="18"/>
                <w:szCs w:val="18"/>
              </w:rPr>
              <w:t>早餐酒店早餐，正餐餐标均价达30元/人/餐（自助或围桌），升级</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虾兵蟹将海鲜餐</w:t>
            </w:r>
            <w:r>
              <w:rPr>
                <w:rFonts w:hint="eastAsia" w:ascii="宋体" w:hAnsi="宋体"/>
                <w:sz w:val="18"/>
                <w:szCs w:val="18"/>
              </w:rPr>
              <w:t>、南山素斋自助餐各1次。</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大牌景区：</w:t>
            </w:r>
          </w:p>
          <w:p>
            <w:pPr>
              <w:spacing w:line="280" w:lineRule="exact"/>
              <w:rPr>
                <w:rFonts w:asciiTheme="minorEastAsia" w:hAnsiTheme="minorEastAsia"/>
                <w:sz w:val="18"/>
                <w:szCs w:val="18"/>
              </w:rPr>
            </w:pPr>
            <w:r>
              <w:rPr>
                <w:rFonts w:hint="eastAsia" w:asciiTheme="minorEastAsia" w:hAnsiTheme="minorEastAsia"/>
                <w:sz w:val="18"/>
                <w:szCs w:val="18"/>
              </w:rPr>
              <w:t>5A海岛蜈支洲岛、5A南山文化苑、4A亚龙湾热带天堂、4A天涯海角等。</w:t>
            </w:r>
          </w:p>
          <w:p>
            <w:pPr>
              <w:spacing w:line="280" w:lineRule="exact"/>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贴心服务：</w:t>
            </w:r>
          </w:p>
          <w:p>
            <w:pPr>
              <w:rPr>
                <w:rFonts w:asciiTheme="minorEastAsia" w:hAnsiTheme="minorEastAsia"/>
                <w:sz w:val="18"/>
                <w:szCs w:val="18"/>
              </w:rPr>
            </w:pPr>
            <w:r>
              <w:rPr>
                <w:rFonts w:hint="eastAsia" w:asciiTheme="minorEastAsia" w:hAnsiTheme="minorEastAsia"/>
                <w:sz w:val="18"/>
                <w:szCs w:val="18"/>
              </w:rPr>
              <w:t>全程品牌矿泉水1瓶/人/天，旅行社责任险；</w:t>
            </w:r>
          </w:p>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039" w:hRule="atLeast"/>
          <w:jc w:val="center"/>
        </w:trPr>
        <w:tc>
          <w:tcPr>
            <w:tcW w:w="1863" w:type="dxa"/>
            <w:gridSpan w:val="2"/>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0CECE" w:themeColor="background2" w:themeShade="E6" w:sz="4" w:space="0"/>
            </w:tcBorders>
            <w:shd w:val="clear" w:color="auto" w:fill="auto"/>
            <w:vAlign w:val="center"/>
          </w:tcPr>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住宿安排：</w:t>
            </w:r>
            <w:r>
              <w:rPr>
                <w:rFonts w:hint="eastAsia"/>
                <w:sz w:val="18"/>
                <w:szCs w:val="18"/>
              </w:rPr>
              <w:t>指定酒店</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526"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rPr>
              <w:t>蜈支洲岛</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rPr>
                <w:sz w:val="18"/>
                <w:szCs w:val="18"/>
              </w:rPr>
            </w:pPr>
            <w:r>
              <w:rPr>
                <w:rFonts w:hint="eastAsia" w:ascii="宋体" w:hAnsi="宋体"/>
                <w:color w:val="E60044"/>
                <w:sz w:val="18"/>
                <w:szCs w:val="18"/>
              </w:rPr>
              <w:t>住宿安排：</w:t>
            </w:r>
            <w:r>
              <w:rPr>
                <w:rFonts w:hint="eastAsia"/>
                <w:sz w:val="18"/>
                <w:szCs w:val="18"/>
              </w:rPr>
              <w:t>指定酒店</w:t>
            </w:r>
          </w:p>
          <w:p>
            <w:pPr>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652"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lang w:val="zh-TW" w:eastAsia="zh-TW"/>
              </w:rPr>
              <w:t>天涯海角</w:t>
            </w:r>
            <w:r>
              <w:rPr>
                <w:rFonts w:hint="eastAsia"/>
                <w:b/>
                <w:bCs/>
                <w:color w:val="E60044"/>
                <w:sz w:val="18"/>
                <w:szCs w:val="18"/>
              </w:rPr>
              <w:t>—南山佛教文化苑—</w:t>
            </w:r>
            <w:r>
              <w:rPr>
                <w:rFonts w:hint="eastAsia"/>
                <w:b/>
                <w:bCs/>
                <w:color w:val="E60044"/>
                <w:sz w:val="18"/>
                <w:szCs w:val="18"/>
                <w:lang w:val="zh-TW"/>
              </w:rPr>
              <w:t>热带农业示范基地</w:t>
            </w:r>
          </w:p>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（游览时间不少于90分钟），在这里了解海南独特的天然橡胶文化，秉承“科技、环保、健康、时尚”的理念，精湛制作各种工艺产品，打造轻松休闲的生活方式。</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中餐：南山素斋特色餐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434"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rPr>
              <w:t>美丽商城—亚龙湾天堂森林公园—亚龙湾玫瑰谷</w:t>
            </w:r>
          </w:p>
          <w:p>
            <w:pPr>
              <w:spacing w:before="31" w:beforeLines="10" w:after="31" w:afterLines="10"/>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（游览不少于120分钟）“面朝大海，背靠青山，四季花开。” 三亚的天然大氧吧，拥有良好的热带雨林生态资源，景区内美丽的自然风光占据了冯小刚著名电影《非诚勿扰2》三分之二以上镜头，成为情侣们公认的爱情圣地，至今热度不减。</w:t>
            </w:r>
          </w:p>
          <w:p>
            <w:pPr>
              <w:rPr>
                <w:sz w:val="18"/>
                <w:szCs w:val="18"/>
              </w:rPr>
            </w:pPr>
            <w:r>
              <w:rPr>
                <w:rFonts w:hint="eastAsia"/>
                <w:b/>
                <w:bCs/>
                <w:color w:val="262626" w:themeColor="text1" w:themeTint="D9"/>
                <w:sz w:val="18"/>
                <w:szCs w:val="18"/>
                <w14:textFill>
                  <w14:solidFill>
                    <w14:schemeClr w14:val="tx1">
                      <w14:lumMod w14:val="85000"/>
                      <w14:lumOff w14:val="15000"/>
                    </w14:schemeClr>
                  </w14:solidFill>
                </w14:textFill>
              </w:rPr>
              <w:t>玫瑰谷：</w:t>
            </w:r>
            <w:r>
              <w:rPr>
                <w:rFonts w:hint="eastAsia"/>
                <w:color w:val="262626" w:themeColor="text1" w:themeTint="D9"/>
                <w:sz w:val="18"/>
                <w:szCs w:val="18"/>
                <w14:textFill>
                  <w14:solidFill>
                    <w14:schemeClr w14:val="tx1">
                      <w14:lumMod w14:val="85000"/>
                      <w14:lumOff w14:val="15000"/>
                    </w14:schemeClr>
                  </w14:solidFill>
                </w14:textFill>
              </w:rPr>
              <w:t>（不少于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分钟）以“美丽·浪漫·爱”为主题的亚洲规模最大的亚龙湾国际玫瑰谷，徜徉在玫瑰花海之中，奔赴一场极致浪漫的玫瑰之约。</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262"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after="62" w:afterLines="20" w:line="240" w:lineRule="exact"/>
              <w:rPr>
                <w:rFonts w:hint="eastAsia"/>
                <w:color w:val="E60044"/>
                <w:sz w:val="18"/>
                <w:szCs w:val="18"/>
                <w:lang w:eastAsia="zh-CN"/>
              </w:rPr>
            </w:pPr>
            <w:r>
              <w:rPr>
                <w:rFonts w:hint="eastAsia"/>
                <w:color w:val="E60044"/>
                <w:sz w:val="18"/>
                <w:szCs w:val="18"/>
              </w:rPr>
              <w:t>景点安排：</w:t>
            </w:r>
            <w:r>
              <w:rPr>
                <w:rFonts w:hint="eastAsia"/>
                <w:b/>
                <w:bCs/>
                <w:color w:val="E60044"/>
                <w:sz w:val="18"/>
                <w:szCs w:val="18"/>
                <w:lang w:eastAsia="zh-CN"/>
              </w:rPr>
              <w:t>赠送</w:t>
            </w:r>
            <w:r>
              <w:rPr>
                <w:rFonts w:hint="eastAsia"/>
                <w:b/>
                <w:bCs/>
                <w:color w:val="E60044"/>
                <w:sz w:val="18"/>
                <w:szCs w:val="18"/>
                <w:lang w:val="zh-TW"/>
              </w:rPr>
              <w:t>跨境商品免税商城</w:t>
            </w:r>
            <w:r>
              <w:rPr>
                <w:rFonts w:hint="eastAsia"/>
                <w:b/>
                <w:bCs/>
                <w:color w:val="E60044"/>
                <w:sz w:val="18"/>
                <w:szCs w:val="18"/>
                <w:lang w:eastAsia="zh-CN"/>
              </w:rPr>
              <w:t>—槟榔谷</w:t>
            </w:r>
          </w:p>
          <w:p>
            <w:pPr>
              <w:spacing w:after="62" w:afterLines="20" w:line="240" w:lineRule="exact"/>
              <w:rPr>
                <w:rFonts w:hint="eastAsia"/>
                <w:b w:val="0"/>
                <w:bCs w:val="0"/>
                <w:color w:val="auto"/>
                <w:sz w:val="18"/>
                <w:szCs w:val="18"/>
              </w:rPr>
            </w:pPr>
            <w:r>
              <w:rPr>
                <w:rFonts w:hint="eastAsia"/>
                <w:b/>
                <w:bCs/>
                <w:color w:val="auto"/>
                <w:sz w:val="18"/>
                <w:szCs w:val="18"/>
                <w:lang w:val="zh-TW" w:eastAsia="zh-CN"/>
              </w:rPr>
              <w:t>赠送跨境商品【免税商城】：</w:t>
            </w:r>
            <w:r>
              <w:rPr>
                <w:rFonts w:hint="eastAsia"/>
                <w:b w:val="0"/>
                <w:bCs w:val="0"/>
                <w:color w:val="auto"/>
                <w:sz w:val="18"/>
                <w:szCs w:val="18"/>
                <w:lang w:val="zh-TW" w:eastAsia="zh-CN"/>
              </w:rPr>
              <w:t>（</w:t>
            </w:r>
            <w:r>
              <w:rPr>
                <w:rFonts w:hint="eastAsia"/>
                <w:b w:val="0"/>
                <w:bCs w:val="0"/>
                <w:color w:val="auto"/>
                <w:sz w:val="18"/>
                <w:szCs w:val="18"/>
              </w:rPr>
              <w:t>游览时间不少于120分钟</w:t>
            </w:r>
            <w:r>
              <w:rPr>
                <w:rFonts w:hint="eastAsia"/>
                <w:b w:val="0"/>
                <w:bCs w:val="0"/>
                <w:color w:val="auto"/>
                <w:sz w:val="18"/>
                <w:szCs w:val="18"/>
                <w:lang w:val="zh-TW" w:eastAsia="zh-CN"/>
              </w:rPr>
              <w:t>）</w:t>
            </w:r>
            <w:r>
              <w:rPr>
                <w:rFonts w:hint="eastAsia"/>
                <w:b w:val="0"/>
                <w:bCs w:val="0"/>
                <w:color w:val="auto"/>
                <w:sz w:val="18"/>
                <w:szCs w:val="18"/>
              </w:rPr>
              <w:t>，集餐饮、香化、箱包、娱乐、休闲、珠宝于一体的商业综合体；</w:t>
            </w:r>
          </w:p>
          <w:p>
            <w:pPr>
              <w:spacing w:after="62" w:afterLines="20" w:line="240" w:lineRule="exact"/>
              <w:rPr>
                <w:rFonts w:asciiTheme="minorEastAsia" w:hAnsiTheme="minorEastAsia"/>
                <w:bCs/>
                <w:sz w:val="18"/>
                <w:szCs w:val="18"/>
              </w:rPr>
            </w:pPr>
            <w:r>
              <w:rPr>
                <w:rFonts w:hint="eastAsia"/>
                <w:b/>
                <w:bCs/>
                <w:color w:val="auto"/>
                <w:sz w:val="18"/>
                <w:szCs w:val="18"/>
                <w:lang w:val="en-US" w:eastAsia="zh-CN"/>
              </w:rPr>
              <w:t>【槟榔谷】：</w:t>
            </w:r>
            <w:r>
              <w:rPr>
                <w:rFonts w:hint="eastAsia" w:asciiTheme="minorEastAsia" w:hAnsiTheme="minorEastAsia"/>
                <w:bCs/>
                <w:sz w:val="18"/>
                <w:szCs w:val="18"/>
              </w:rPr>
              <w:t>（游览时间不少于120分钟，不含景区内表演）</w:t>
            </w:r>
            <w:r>
              <w:rPr>
                <w:rFonts w:hint="eastAsia" w:asciiTheme="minorEastAsia" w:hAnsiTheme="minorEastAsia"/>
                <w:bCs/>
                <w:sz w:val="18"/>
                <w:szCs w:val="18"/>
                <w:lang w:eastAsia="zh-CN"/>
              </w:rPr>
              <w:t>，</w:t>
            </w:r>
            <w:r>
              <w:rPr>
                <w:rFonts w:hint="eastAsia" w:asciiTheme="minorEastAsia" w:hAnsiTheme="minorEastAsia"/>
                <w:bCs/>
                <w:sz w:val="18"/>
                <w:szCs w:val="18"/>
              </w:rPr>
              <w:t>中国首家民族文化型5A级景区，海南民族文化的“活化石”，婀娜多姿的槟榔林海，置身于古木参天、藤蔓交织的热带雨林中。</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sz w:val="18"/>
                <w:szCs w:val="18"/>
                <w:lang w:val="zh-TW"/>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57" w:type="dxa"/>
            <w:left w:w="57" w:type="dxa"/>
            <w:bottom w:w="57" w:type="dxa"/>
            <w:right w:w="57" w:type="dxa"/>
          </w:tblCellMar>
        </w:tblPrEx>
        <w:trPr>
          <w:trHeight w:val="589" w:hRule="atLeast"/>
          <w:jc w:val="center"/>
        </w:trPr>
        <w:tc>
          <w:tcPr>
            <w:tcW w:w="1863" w:type="dxa"/>
            <w:gridSpan w:val="2"/>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D6</w:t>
            </w:r>
          </w:p>
          <w:p>
            <w:pPr>
              <w:spacing w:line="200" w:lineRule="exact"/>
              <w:rPr>
                <w:rFonts w:asciiTheme="minorEastAsia" w:hAnsiTheme="minorEastAsia"/>
                <w:bCs/>
                <w:iCs/>
                <w:color w:val="262626" w:themeColor="text1" w:themeTint="D9"/>
                <w:sz w:val="18"/>
                <w:szCs w:val="18"/>
                <w14:textFill>
                  <w14:solidFill>
                    <w14:schemeClr w14:val="tx1">
                      <w14:lumMod w14:val="85000"/>
                      <w14:lumOff w14:val="15000"/>
                    </w14:schemeClr>
                  </w14:solidFill>
                </w14:textFill>
              </w:rPr>
            </w:pPr>
            <w:r>
              <w:rPr>
                <w:rFonts w:hint="eastAsia" w:asciiTheme="minorEastAsia" w:hAnsiTheme="minorEastAsia"/>
                <w:bCs/>
                <w:iCs/>
                <w:color w:val="262626" w:themeColor="text1" w:themeTint="D9"/>
                <w:sz w:val="18"/>
                <w:szCs w:val="18"/>
                <w14:textFill>
                  <w14:solidFill>
                    <w14:schemeClr w14:val="tx1">
                      <w14:lumMod w14:val="85000"/>
                      <w14:lumOff w14:val="15000"/>
                    </w14:schemeClr>
                  </w14:solidFill>
                </w14:textFill>
              </w:rPr>
              <w:t>三亚 &gt;&gt; 温馨的家</w:t>
            </w:r>
          </w:p>
        </w:tc>
        <w:tc>
          <w:tcPr>
            <w:tcW w:w="6478" w:type="dxa"/>
            <w:tcBorders>
              <w:top w:val="single" w:color="D0CECE" w:themeColor="background2" w:themeShade="E6" w:sz="4" w:space="0"/>
            </w:tcBorders>
            <w:shd w:val="clear" w:color="auto" w:fill="auto"/>
            <w:vAlign w:val="center"/>
          </w:tcPr>
          <w:p>
            <w:pPr>
              <w:rPr>
                <w:sz w:val="18"/>
                <w:szCs w:val="18"/>
                <w:lang w:val="zh-TW"/>
              </w:rPr>
            </w:pPr>
            <w:r>
              <w:rPr>
                <w:rFonts w:hint="eastAsia"/>
                <w:sz w:val="18"/>
                <w:szCs w:val="18"/>
                <w:lang w:val="zh-TW"/>
              </w:rPr>
              <w:t>专人送机，乘机返回温馨家园（酒店退房时间为中午12点前）。</w:t>
            </w:r>
          </w:p>
          <w:p>
            <w:pPr>
              <w:rPr>
                <w:sz w:val="18"/>
                <w:szCs w:val="18"/>
                <w:lang w:val="zh-TW"/>
              </w:rPr>
            </w:pPr>
            <w:r>
              <w:rPr>
                <w:rFonts w:hint="eastAsia"/>
                <w:color w:val="C00000"/>
                <w:sz w:val="18"/>
                <w:szCs w:val="18"/>
                <w:lang w:val="zh-TW"/>
              </w:rPr>
              <w:t>餐饮安排：</w:t>
            </w:r>
            <w:r>
              <w:rPr>
                <w:rFonts w:hint="eastAsia"/>
                <w:sz w:val="18"/>
                <w:szCs w:val="18"/>
                <w:lang w:val="zh-TW"/>
              </w:rPr>
              <w:t>早餐：酒店用餐   中餐：自理   晚餐：自理</w:t>
            </w:r>
          </w:p>
          <w:p>
            <w:pPr>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113" w:type="dxa"/>
            <w:left w:w="57" w:type="dxa"/>
            <w:bottom w:w="113" w:type="dxa"/>
            <w:right w:w="57" w:type="dxa"/>
          </w:tblCellMar>
        </w:tblPrEx>
        <w:trPr>
          <w:trHeight w:val="728"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br w:type="page"/>
            </w:r>
            <w:r>
              <w:rPr>
                <w:color w:val="E60044"/>
              </w:rPr>
              <w:br w:type="page"/>
            </w:r>
            <w:r>
              <w:rPr>
                <w:rFonts w:hint="eastAsia" w:ascii="宋体" w:hAnsi="宋体"/>
                <w:b/>
                <w:color w:val="E60044"/>
                <w:sz w:val="28"/>
                <w:szCs w:val="28"/>
              </w:rPr>
              <w:t xml:space="preserve">费用包含 </w:t>
            </w:r>
          </w:p>
        </w:tc>
      </w:tr>
      <w:tr>
        <w:tblPrEx>
          <w:tblLayout w:type="fixed"/>
          <w:tblCellMar>
            <w:top w:w="113" w:type="dxa"/>
            <w:left w:w="57" w:type="dxa"/>
            <w:bottom w:w="113" w:type="dxa"/>
            <w:right w:w="57" w:type="dxa"/>
          </w:tblCellMar>
        </w:tblPrEx>
        <w:trPr>
          <w:trHeight w:val="2412" w:hRule="atLeast"/>
          <w:jc w:val="center"/>
        </w:trPr>
        <w:tc>
          <w:tcPr>
            <w:tcW w:w="11225" w:type="dxa"/>
            <w:gridSpan w:val="6"/>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三亚一地，全程连住三亚海韵度假酒店；</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en-US" w:eastAsia="zh-CN"/>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早，正餐标30元/人/餐；升级</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虾兵蟹将海鲜餐</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、南山素斋自助餐各1次；</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优秀持证专业导游，幽默风趣耐心解说、贴心细致管家式服务；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Layout w:type="fixed"/>
          <w:tblCellMar>
            <w:top w:w="113" w:type="dxa"/>
            <w:left w:w="57" w:type="dxa"/>
            <w:bottom w:w="113" w:type="dxa"/>
            <w:right w:w="57" w:type="dxa"/>
          </w:tblCellMar>
        </w:tblPrEx>
        <w:trPr>
          <w:trHeight w:val="452"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 xml:space="preserve">酒店说明 </w:t>
            </w:r>
          </w:p>
        </w:tc>
      </w:tr>
      <w:tr>
        <w:tblPrEx>
          <w:tblLayout w:type="fixed"/>
          <w:tblCellMar>
            <w:top w:w="113" w:type="dxa"/>
            <w:left w:w="57" w:type="dxa"/>
            <w:bottom w:w="113" w:type="dxa"/>
            <w:right w:w="57" w:type="dxa"/>
          </w:tblCellMar>
        </w:tblPrEx>
        <w:trPr>
          <w:trHeight w:val="161" w:hRule="atLeast"/>
          <w:jc w:val="center"/>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gridSpan w:val="5"/>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388"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海韵、洛克铂金、希尔顿花园，大东海酒店、三亚湾假日</w:t>
            </w:r>
          </w:p>
        </w:tc>
      </w:tr>
      <w:tr>
        <w:tblPrEx>
          <w:tblLayout w:type="fixed"/>
          <w:tblCellMar>
            <w:top w:w="113" w:type="dxa"/>
            <w:left w:w="57" w:type="dxa"/>
            <w:bottom w:w="113" w:type="dxa"/>
            <w:right w:w="57" w:type="dxa"/>
          </w:tblCellMar>
        </w:tblPrEx>
        <w:trPr>
          <w:trHeight w:val="426" w:hRule="atLeast"/>
          <w:jc w:val="center"/>
        </w:trPr>
        <w:tc>
          <w:tcPr>
            <w:tcW w:w="11225" w:type="dxa"/>
            <w:gridSpan w:val="6"/>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注：1、如遇旺季酒店房型售罄或酒店会议、政府活动占用等情形，我社将会升级至不低于以上所列标准的同类型酒店；2、夫妻情侣可根据房态免费申请大床，需要报名时确认申请；敬请谅解。</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452"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 xml:space="preserve">补充说明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12、本线路全程不推荐任何行程外购物店，海上自愿娱乐项目、景区内交通工具及特色演出均为游客自行自愿选择（</w:t>
            </w:r>
            <w:r>
              <w:rPr>
                <w:rFonts w:hint="eastAsia" w:asciiTheme="minorEastAsia" w:hAnsiTheme="minorEastAsia" w:cstheme="minorEastAsia"/>
                <w:b/>
                <w:sz w:val="18"/>
                <w:szCs w:val="21"/>
              </w:rPr>
              <w:t>夜游三亚湾288元/人、千古情演绎300元/人、红色娘子军演出260元/人,</w:t>
            </w:r>
            <w:r>
              <w:rPr>
                <w:rFonts w:hint="eastAsia" w:asciiTheme="minorEastAsia" w:hAnsiTheme="minorEastAsia" w:cstheme="minorEastAsia"/>
                <w:sz w:val="18"/>
                <w:szCs w:val="21"/>
              </w:rPr>
              <w:t>实际价格请以运营商公布为准）。景区内购物，海南部分景区及酒店为方便旅游者有自设的商场及购物场所，并非我社安排的旅游购物店，属于第三方与您之间自愿行为，此类投诉我社无法受理，敬请谅解。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A87" w:usb1="00000000" w:usb2="00000000" w:usb3="00000000" w:csb0="400001BF" w:csb1="DFF7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12CDC"/>
    <w:rsid w:val="00022993"/>
    <w:rsid w:val="0002504F"/>
    <w:rsid w:val="00045BEA"/>
    <w:rsid w:val="00065C4C"/>
    <w:rsid w:val="000E673D"/>
    <w:rsid w:val="000F03FD"/>
    <w:rsid w:val="00111A76"/>
    <w:rsid w:val="00190415"/>
    <w:rsid w:val="001A4D21"/>
    <w:rsid w:val="001A5209"/>
    <w:rsid w:val="001B2CFF"/>
    <w:rsid w:val="001C1408"/>
    <w:rsid w:val="00212659"/>
    <w:rsid w:val="00237456"/>
    <w:rsid w:val="002950DF"/>
    <w:rsid w:val="002B7AEC"/>
    <w:rsid w:val="002D0999"/>
    <w:rsid w:val="002E497D"/>
    <w:rsid w:val="0030206D"/>
    <w:rsid w:val="00324C8A"/>
    <w:rsid w:val="003429D6"/>
    <w:rsid w:val="003669FC"/>
    <w:rsid w:val="003D1687"/>
    <w:rsid w:val="00402071"/>
    <w:rsid w:val="0040236A"/>
    <w:rsid w:val="00467491"/>
    <w:rsid w:val="00473CE0"/>
    <w:rsid w:val="004B1173"/>
    <w:rsid w:val="004C4261"/>
    <w:rsid w:val="00515C03"/>
    <w:rsid w:val="00545618"/>
    <w:rsid w:val="00560C3D"/>
    <w:rsid w:val="005679EA"/>
    <w:rsid w:val="005805A8"/>
    <w:rsid w:val="005B567C"/>
    <w:rsid w:val="00607267"/>
    <w:rsid w:val="00615F52"/>
    <w:rsid w:val="00621924"/>
    <w:rsid w:val="00623296"/>
    <w:rsid w:val="00626ACE"/>
    <w:rsid w:val="0067144B"/>
    <w:rsid w:val="00686BB3"/>
    <w:rsid w:val="006F2B46"/>
    <w:rsid w:val="00740A88"/>
    <w:rsid w:val="007503C8"/>
    <w:rsid w:val="00756178"/>
    <w:rsid w:val="00756E22"/>
    <w:rsid w:val="007605D7"/>
    <w:rsid w:val="007762F9"/>
    <w:rsid w:val="00780BF5"/>
    <w:rsid w:val="007A2127"/>
    <w:rsid w:val="007E1FD6"/>
    <w:rsid w:val="007F0B24"/>
    <w:rsid w:val="0082347B"/>
    <w:rsid w:val="00827BCA"/>
    <w:rsid w:val="0084075B"/>
    <w:rsid w:val="00845D39"/>
    <w:rsid w:val="0085454E"/>
    <w:rsid w:val="00861E84"/>
    <w:rsid w:val="00867E65"/>
    <w:rsid w:val="0087288E"/>
    <w:rsid w:val="00895367"/>
    <w:rsid w:val="008B392F"/>
    <w:rsid w:val="008C5D90"/>
    <w:rsid w:val="008C6197"/>
    <w:rsid w:val="008E0D04"/>
    <w:rsid w:val="008E67AA"/>
    <w:rsid w:val="009171F7"/>
    <w:rsid w:val="00944345"/>
    <w:rsid w:val="00953736"/>
    <w:rsid w:val="009B433C"/>
    <w:rsid w:val="009D311D"/>
    <w:rsid w:val="009E0584"/>
    <w:rsid w:val="009F75F4"/>
    <w:rsid w:val="00A1695A"/>
    <w:rsid w:val="00A52BE0"/>
    <w:rsid w:val="00A76EAA"/>
    <w:rsid w:val="00A83F87"/>
    <w:rsid w:val="00AD1394"/>
    <w:rsid w:val="00AD4267"/>
    <w:rsid w:val="00B0378A"/>
    <w:rsid w:val="00B139D4"/>
    <w:rsid w:val="00B30C1E"/>
    <w:rsid w:val="00B35E17"/>
    <w:rsid w:val="00B462DC"/>
    <w:rsid w:val="00B55630"/>
    <w:rsid w:val="00BF0D67"/>
    <w:rsid w:val="00BF3F95"/>
    <w:rsid w:val="00C06A3C"/>
    <w:rsid w:val="00C24052"/>
    <w:rsid w:val="00C35765"/>
    <w:rsid w:val="00C373C7"/>
    <w:rsid w:val="00C80C48"/>
    <w:rsid w:val="00CC007B"/>
    <w:rsid w:val="00CE7536"/>
    <w:rsid w:val="00D0445D"/>
    <w:rsid w:val="00D96258"/>
    <w:rsid w:val="00DF5895"/>
    <w:rsid w:val="00E130AF"/>
    <w:rsid w:val="00E16440"/>
    <w:rsid w:val="00E24038"/>
    <w:rsid w:val="00E32E1E"/>
    <w:rsid w:val="00E44EA4"/>
    <w:rsid w:val="00E627C6"/>
    <w:rsid w:val="00ED137D"/>
    <w:rsid w:val="00EE611B"/>
    <w:rsid w:val="00F06DE7"/>
    <w:rsid w:val="00F10CB4"/>
    <w:rsid w:val="00F33C8C"/>
    <w:rsid w:val="00F81F3F"/>
    <w:rsid w:val="00F96CDA"/>
    <w:rsid w:val="00FC73B6"/>
    <w:rsid w:val="01786AC3"/>
    <w:rsid w:val="02E8169C"/>
    <w:rsid w:val="03AD0433"/>
    <w:rsid w:val="05EA05B9"/>
    <w:rsid w:val="060B3707"/>
    <w:rsid w:val="07EB79D6"/>
    <w:rsid w:val="09956601"/>
    <w:rsid w:val="0B952A4F"/>
    <w:rsid w:val="0BA115A6"/>
    <w:rsid w:val="0BD0782D"/>
    <w:rsid w:val="0C3A2F75"/>
    <w:rsid w:val="0D6367E4"/>
    <w:rsid w:val="0FBF45E5"/>
    <w:rsid w:val="10F25672"/>
    <w:rsid w:val="13DA3184"/>
    <w:rsid w:val="150A19EE"/>
    <w:rsid w:val="17C82FF6"/>
    <w:rsid w:val="186C2F22"/>
    <w:rsid w:val="194E7053"/>
    <w:rsid w:val="1C627327"/>
    <w:rsid w:val="221456E5"/>
    <w:rsid w:val="2436699F"/>
    <w:rsid w:val="258955DB"/>
    <w:rsid w:val="27B95819"/>
    <w:rsid w:val="2AF34A54"/>
    <w:rsid w:val="2B4262A0"/>
    <w:rsid w:val="2B4630D5"/>
    <w:rsid w:val="2BE222CE"/>
    <w:rsid w:val="2D0D48B7"/>
    <w:rsid w:val="2D261485"/>
    <w:rsid w:val="2E23470E"/>
    <w:rsid w:val="30DB5145"/>
    <w:rsid w:val="31015BBD"/>
    <w:rsid w:val="33D267C2"/>
    <w:rsid w:val="37666670"/>
    <w:rsid w:val="389B3FA8"/>
    <w:rsid w:val="39B73441"/>
    <w:rsid w:val="39E40528"/>
    <w:rsid w:val="3A3A58FD"/>
    <w:rsid w:val="3A6401D0"/>
    <w:rsid w:val="3BBC1E1E"/>
    <w:rsid w:val="433726E9"/>
    <w:rsid w:val="44AC71E3"/>
    <w:rsid w:val="455005EE"/>
    <w:rsid w:val="45871D62"/>
    <w:rsid w:val="459D00E8"/>
    <w:rsid w:val="4D0C0565"/>
    <w:rsid w:val="4ECC72E7"/>
    <w:rsid w:val="511D4FF2"/>
    <w:rsid w:val="55A47791"/>
    <w:rsid w:val="55D10FF9"/>
    <w:rsid w:val="58C36125"/>
    <w:rsid w:val="58ED356E"/>
    <w:rsid w:val="5A4A4598"/>
    <w:rsid w:val="5CF4716A"/>
    <w:rsid w:val="5D1B22F7"/>
    <w:rsid w:val="61A902A4"/>
    <w:rsid w:val="68A80E23"/>
    <w:rsid w:val="69BC29FC"/>
    <w:rsid w:val="6D301E87"/>
    <w:rsid w:val="6DCB6833"/>
    <w:rsid w:val="6F327058"/>
    <w:rsid w:val="6F6E2C29"/>
    <w:rsid w:val="6FFC6A05"/>
    <w:rsid w:val="701E7300"/>
    <w:rsid w:val="718D74B4"/>
    <w:rsid w:val="738E2FE7"/>
    <w:rsid w:val="739D3E76"/>
    <w:rsid w:val="740C1D6B"/>
    <w:rsid w:val="778B1DFE"/>
    <w:rsid w:val="790763EE"/>
    <w:rsid w:val="7C100E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4069</Words>
  <Characters>253</Characters>
  <Lines>2</Lines>
  <Paragraphs>8</Paragraphs>
  <TotalTime>0</TotalTime>
  <ScaleCrop>false</ScaleCrop>
  <LinksUpToDate>false</LinksUpToDate>
  <CharactersWithSpaces>4314</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林秋琦</cp:lastModifiedBy>
  <dcterms:modified xsi:type="dcterms:W3CDTF">2019-10-11T07:18:55Z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