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趣七仙岭" focussize="0,0" recolor="t" r:id="rId5"/>
    </v:background>
  </w:background>
  <w:body>
    <w:p>
      <w:pPr>
        <w:rPr>
          <w:rFonts w:hint="eastAsia" w:eastAsiaTheme="minorEastAsia"/>
          <w:lang w:eastAsia="zh-CN"/>
        </w:rPr>
      </w:pPr>
      <w:r>
        <w:rPr>
          <w:rFonts w:hint="eastAsia" w:eastAsiaTheme="minorEastAsia"/>
          <w:lang w:eastAsia="zh-CN"/>
        </w:rPr>
        <w:drawing>
          <wp:anchor distT="0" distB="0" distL="114300" distR="114300" simplePos="0" relativeHeight="251691008" behindDoc="1" locked="0" layoutInCell="1" allowOverlap="1">
            <wp:simplePos x="0" y="0"/>
            <wp:positionH relativeFrom="column">
              <wp:posOffset>-228600</wp:posOffset>
            </wp:positionH>
            <wp:positionV relativeFrom="paragraph">
              <wp:posOffset>-192405</wp:posOffset>
            </wp:positionV>
            <wp:extent cx="7553325" cy="10678795"/>
            <wp:effectExtent l="0" t="0" r="9525" b="8255"/>
            <wp:wrapNone/>
            <wp:docPr id="3" name="图片 3" descr="图片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5"/>
                    <pic:cNvPicPr>
                      <a:picLocks noChangeAspect="1"/>
                    </pic:cNvPicPr>
                  </pic:nvPicPr>
                  <pic:blipFill>
                    <a:blip r:embed="rId6"/>
                    <a:stretch>
                      <a:fillRect/>
                    </a:stretch>
                  </pic:blipFill>
                  <pic:spPr>
                    <a:xfrm>
                      <a:off x="0" y="0"/>
                      <a:ext cx="7553325" cy="10678795"/>
                    </a:xfrm>
                    <a:prstGeom prst="rect">
                      <a:avLst/>
                    </a:prstGeom>
                  </pic:spPr>
                </pic:pic>
              </a:graphicData>
            </a:graphic>
          </wp:anchor>
        </w:drawing>
      </w:r>
      <w:r>
        <w:rPr>
          <w:rFonts w:hint="eastAsia"/>
        </w:rPr>
        <w:t xml:space="preserve">  </w:t>
      </w:r>
      <w:r>
        <w:br w:type="page"/>
      </w:r>
    </w:p>
    <w:p>
      <w:r>
        <w:drawing>
          <wp:anchor distT="0" distB="0" distL="114300" distR="114300" simplePos="0" relativeHeight="251679744" behindDoc="0" locked="0" layoutInCell="1" allowOverlap="1">
            <wp:simplePos x="0" y="0"/>
            <wp:positionH relativeFrom="column">
              <wp:posOffset>-215900</wp:posOffset>
            </wp:positionH>
            <wp:positionV relativeFrom="paragraph">
              <wp:posOffset>-215900</wp:posOffset>
            </wp:positionV>
            <wp:extent cx="7553960" cy="10683875"/>
            <wp:effectExtent l="0" t="0" r="8890" b="317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3960" cy="10683875"/>
                    </a:xfrm>
                    <a:prstGeom prst="rect">
                      <a:avLst/>
                    </a:prstGeom>
                  </pic:spPr>
                </pic:pic>
              </a:graphicData>
            </a:graphic>
          </wp:anchor>
        </w:drawing>
      </w:r>
      <w:r>
        <w:br w:type="page"/>
      </w:r>
    </w:p>
    <w:p>
      <w:r>
        <w:drawing>
          <wp:anchor distT="0" distB="0" distL="114300" distR="114300" simplePos="0" relativeHeight="251688960" behindDoc="0" locked="0" layoutInCell="1" allowOverlap="1">
            <wp:simplePos x="0" y="0"/>
            <wp:positionH relativeFrom="column">
              <wp:posOffset>-215900</wp:posOffset>
            </wp:positionH>
            <wp:positionV relativeFrom="paragraph">
              <wp:posOffset>-213360</wp:posOffset>
            </wp:positionV>
            <wp:extent cx="7571740" cy="10705465"/>
            <wp:effectExtent l="0" t="0" r="0" b="63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1740" cy="10705465"/>
                    </a:xfrm>
                    <a:prstGeom prst="rect">
                      <a:avLst/>
                    </a:prstGeom>
                  </pic:spPr>
                </pic:pic>
              </a:graphicData>
            </a:graphic>
          </wp:anchor>
        </w:drawing>
      </w:r>
      <w:r>
        <w:br w:type="page"/>
      </w:r>
    </w:p>
    <w:p>
      <w:r>
        <w:drawing>
          <wp:anchor distT="0" distB="0" distL="114300" distR="114300" simplePos="0" relativeHeight="251689984" behindDoc="0" locked="0" layoutInCell="1" allowOverlap="1">
            <wp:simplePos x="0" y="0"/>
            <wp:positionH relativeFrom="column">
              <wp:posOffset>-215900</wp:posOffset>
            </wp:positionH>
            <wp:positionV relativeFrom="paragraph">
              <wp:posOffset>-215900</wp:posOffset>
            </wp:positionV>
            <wp:extent cx="7574280" cy="10706100"/>
            <wp:effectExtent l="0" t="0" r="762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74280" cy="10706100"/>
                    </a:xfrm>
                    <a:prstGeom prst="rect">
                      <a:avLst/>
                    </a:prstGeom>
                  </pic:spPr>
                </pic:pic>
              </a:graphicData>
            </a:graphic>
          </wp:anchor>
        </w:drawing>
      </w:r>
      <w:r>
        <w:br w:type="page"/>
      </w:r>
    </w:p>
    <w:tbl>
      <w:tblPr>
        <w:tblStyle w:val="6"/>
        <w:tblW w:w="11225" w:type="dxa"/>
        <w:jc w:val="center"/>
        <w:tblInd w:w="0" w:type="dxa"/>
        <w:tblLayout w:type="fixed"/>
        <w:tblCellMar>
          <w:top w:w="57" w:type="dxa"/>
          <w:left w:w="57" w:type="dxa"/>
          <w:bottom w:w="57" w:type="dxa"/>
          <w:right w:w="57" w:type="dxa"/>
        </w:tblCellMar>
      </w:tblPr>
      <w:tblGrid>
        <w:gridCol w:w="1863"/>
        <w:gridCol w:w="6478"/>
        <w:gridCol w:w="7"/>
        <w:gridCol w:w="300"/>
        <w:gridCol w:w="2577"/>
      </w:tblGrid>
      <w:tr>
        <w:tblPrEx>
          <w:tblLayout w:type="fixed"/>
          <w:tblCellMar>
            <w:top w:w="57" w:type="dxa"/>
            <w:left w:w="57" w:type="dxa"/>
            <w:bottom w:w="57" w:type="dxa"/>
            <w:right w:w="57" w:type="dxa"/>
          </w:tblCellMar>
        </w:tblPrEx>
        <w:trPr>
          <w:jc w:val="center"/>
        </w:trPr>
        <w:tc>
          <w:tcPr>
            <w:tcW w:w="11225" w:type="dxa"/>
            <w:gridSpan w:val="5"/>
            <w:tcBorders>
              <w:bottom w:val="single" w:color="FFFFFF" w:sz="4" w:space="0"/>
              <w:tl2br w:val="nil"/>
              <w:tr2bl w:val="nil"/>
            </w:tcBorders>
            <w:shd w:val="clear" w:color="auto" w:fill="E60044"/>
          </w:tcPr>
          <w:p>
            <w:pPr>
              <w:jc w:val="center"/>
              <w:rPr>
                <w:rFonts w:ascii="微软雅黑" w:hAnsi="微软雅黑" w:eastAsia="微软雅黑"/>
                <w:b/>
                <w:iCs/>
                <w:color w:val="262626" w:themeColor="text1" w:themeTint="D9"/>
                <w:sz w:val="36"/>
                <w14:textFill>
                  <w14:solidFill>
                    <w14:schemeClr w14:val="tx1">
                      <w14:lumMod w14:val="85000"/>
                      <w14:lumOff w14:val="15000"/>
                    </w14:schemeClr>
                  </w14:solidFill>
                </w14:textFill>
              </w:rPr>
            </w:pPr>
            <w:r>
              <w:rPr>
                <w:rFonts w:hint="eastAsia" w:ascii="微软雅黑" w:hAnsi="微软雅黑" w:eastAsia="微软雅黑"/>
                <w:b/>
                <w:iCs/>
                <w:color w:val="FFFFFF" w:themeColor="background1"/>
                <w:sz w:val="36"/>
                <w14:textFill>
                  <w14:solidFill>
                    <w14:schemeClr w14:val="bg1"/>
                  </w14:solidFill>
                </w14:textFill>
              </w:rPr>
              <w:drawing>
                <wp:anchor distT="0" distB="0" distL="114300" distR="114300" simplePos="0" relativeHeight="251657216" behindDoc="1" locked="0" layoutInCell="1" allowOverlap="1">
                  <wp:simplePos x="0" y="0"/>
                  <wp:positionH relativeFrom="column">
                    <wp:posOffset>-30480</wp:posOffset>
                  </wp:positionH>
                  <wp:positionV relativeFrom="paragraph">
                    <wp:posOffset>-30480</wp:posOffset>
                  </wp:positionV>
                  <wp:extent cx="7127875" cy="469265"/>
                  <wp:effectExtent l="0" t="0" r="15875" b="6985"/>
                  <wp:wrapNone/>
                  <wp:docPr id="2" name="图片 2" descr="趣七仙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趣七仙岭"/>
                          <pic:cNvPicPr>
                            <a:picLocks noChangeAspect="1"/>
                          </pic:cNvPicPr>
                        </pic:nvPicPr>
                        <pic:blipFill>
                          <a:blip r:embed="rId10"/>
                          <a:stretch>
                            <a:fillRect/>
                          </a:stretch>
                        </pic:blipFill>
                        <pic:spPr>
                          <a:xfrm>
                            <a:off x="0" y="0"/>
                            <a:ext cx="7127875" cy="469265"/>
                          </a:xfrm>
                          <a:prstGeom prst="rect">
                            <a:avLst/>
                          </a:prstGeom>
                        </pic:spPr>
                      </pic:pic>
                    </a:graphicData>
                  </a:graphic>
                </wp:anchor>
              </w:drawing>
            </w:r>
            <w:r>
              <w:rPr>
                <w:rFonts w:hint="eastAsia" w:ascii="微软雅黑" w:hAnsi="微软雅黑" w:eastAsia="微软雅黑"/>
                <w:b/>
                <w:iCs/>
                <w:color w:val="FFFFFF" w:themeColor="background1"/>
                <w:sz w:val="36"/>
                <w14:textFill>
                  <w14:solidFill>
                    <w14:schemeClr w14:val="bg1"/>
                  </w14:solidFill>
                </w14:textFill>
              </w:rPr>
              <w:t>摩登蜜月·海南游</w:t>
            </w:r>
          </w:p>
        </w:tc>
      </w:tr>
      <w:tr>
        <w:tblPrEx>
          <w:tblLayout w:type="fixed"/>
          <w:tblCellMar>
            <w:top w:w="57" w:type="dxa"/>
            <w:left w:w="57" w:type="dxa"/>
            <w:bottom w:w="57" w:type="dxa"/>
            <w:right w:w="57" w:type="dxa"/>
          </w:tblCellMar>
        </w:tblPrEx>
        <w:trPr>
          <w:trHeight w:val="446" w:hRule="atLeast"/>
          <w:jc w:val="center"/>
        </w:trPr>
        <w:tc>
          <w:tcPr>
            <w:tcW w:w="8348" w:type="dxa"/>
            <w:gridSpan w:val="3"/>
            <w:tcBorders>
              <w:bottom w:val="single" w:color="C00000" w:sz="4" w:space="0"/>
              <w:tl2br w:val="nil"/>
              <w:tr2bl w:val="nil"/>
            </w:tcBorders>
            <w:shd w:val="clear" w:color="auto" w:fill="auto"/>
            <w:vAlign w:val="center"/>
          </w:tcPr>
          <w:p>
            <w:pPr>
              <w:jc w:val="left"/>
              <w:rPr>
                <w:color w:val="E60044"/>
              </w:rPr>
            </w:pPr>
            <w:r>
              <w:rPr>
                <w:rFonts w:hint="eastAsia" w:ascii="宋体" w:hAnsi="宋体"/>
                <w:b/>
                <w:color w:val="E60044"/>
                <w:sz w:val="28"/>
                <w:szCs w:val="28"/>
              </w:rPr>
              <w:t>行程安排</w:t>
            </w:r>
          </w:p>
        </w:tc>
        <w:tc>
          <w:tcPr>
            <w:tcW w:w="300" w:type="dxa"/>
            <w:tcBorders>
              <w:top w:val="single" w:color="FFFFFF" w:sz="4" w:space="0"/>
              <w:left w:val="nil"/>
              <w:bottom w:val="single" w:color="FFFFFF" w:sz="4" w:space="0"/>
              <w:tl2br w:val="nil"/>
              <w:tr2bl w:val="nil"/>
            </w:tcBorders>
            <w:shd w:val="clear" w:color="auto" w:fill="auto"/>
            <w:vAlign w:val="center"/>
          </w:tcPr>
          <w:p>
            <w:pPr>
              <w:jc w:val="left"/>
              <w:rPr>
                <w:rFonts w:ascii="宋体" w:hAnsi="宋体"/>
                <w:b/>
                <w:color w:val="C00000"/>
                <w:sz w:val="28"/>
                <w:szCs w:val="28"/>
              </w:rPr>
            </w:pPr>
          </w:p>
        </w:tc>
        <w:tc>
          <w:tcPr>
            <w:tcW w:w="2577" w:type="dxa"/>
            <w:tcBorders>
              <w:bottom w:val="single" w:color="C00000" w:sz="4" w:space="0"/>
              <w:tl2br w:val="nil"/>
              <w:tr2bl w:val="nil"/>
            </w:tcBorders>
            <w:shd w:val="clear" w:color="auto" w:fill="auto"/>
            <w:vAlign w:val="center"/>
          </w:tcPr>
          <w:p>
            <w:pPr>
              <w:jc w:val="left"/>
              <w:rPr>
                <w:rFonts w:ascii="宋体" w:hAnsi="宋体"/>
                <w:b/>
                <w:color w:val="E60044"/>
                <w:sz w:val="28"/>
                <w:szCs w:val="28"/>
              </w:rPr>
            </w:pPr>
            <w:r>
              <w:rPr>
                <w:rFonts w:hint="eastAsia" w:ascii="宋体" w:hAnsi="宋体"/>
                <w:b/>
                <w:color w:val="E60044"/>
                <w:sz w:val="28"/>
                <w:szCs w:val="28"/>
              </w:rPr>
              <w:t>路线特色</w:t>
            </w:r>
          </w:p>
        </w:tc>
      </w:tr>
      <w:tr>
        <w:tblPrEx>
          <w:tblLayout w:type="fixed"/>
          <w:tblCellMar>
            <w:top w:w="57" w:type="dxa"/>
            <w:left w:w="57" w:type="dxa"/>
            <w:bottom w:w="57" w:type="dxa"/>
            <w:right w:w="57" w:type="dxa"/>
          </w:tblCellMar>
        </w:tblPrEx>
        <w:trPr>
          <w:trHeight w:val="246" w:hRule="atLeast"/>
          <w:jc w:val="center"/>
        </w:trPr>
        <w:tc>
          <w:tcPr>
            <w:tcW w:w="1863" w:type="dxa"/>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eastAsia="宋体"/>
                <w:b/>
                <w:bCs/>
                <w:color w:val="262626" w:themeColor="text1" w:themeTint="D9"/>
                <w:szCs w:val="21"/>
                <w14:textFill>
                  <w14:solidFill>
                    <w14:schemeClr w14:val="tx1">
                      <w14:lumMod w14:val="85000"/>
                      <w14:lumOff w14:val="15000"/>
                    </w14:schemeClr>
                  </w14:solidFill>
                </w14:textFill>
              </w:rPr>
            </w:pPr>
            <w:r>
              <w:rPr>
                <w:rFonts w:hint="eastAsia"/>
                <w:b/>
                <w:bCs/>
                <w:color w:val="262626" w:themeColor="text1" w:themeTint="D9"/>
                <w:szCs w:val="21"/>
                <w14:textFill>
                  <w14:solidFill>
                    <w14:schemeClr w14:val="tx1">
                      <w14:lumMod w14:val="85000"/>
                      <w14:lumOff w14:val="15000"/>
                    </w14:schemeClr>
                  </w14:solidFill>
                </w14:textFill>
              </w:rPr>
              <w:t>天数</w:t>
            </w:r>
          </w:p>
        </w:tc>
        <w:tc>
          <w:tcPr>
            <w:tcW w:w="6478" w:type="dxa"/>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ascii="宋体" w:hAnsi="宋体" w:eastAsia="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color w:val="262626" w:themeColor="text1" w:themeTint="D9"/>
                <w:szCs w:val="21"/>
                <w14:textFill>
                  <w14:solidFill>
                    <w14:schemeClr w14:val="tx1">
                      <w14:lumMod w14:val="85000"/>
                      <w14:lumOff w14:val="15000"/>
                    </w14:schemeClr>
                  </w14:solidFill>
                </w14:textFill>
              </w:rPr>
              <w:t>细化行程</w:t>
            </w:r>
          </w:p>
        </w:tc>
        <w:tc>
          <w:tcPr>
            <w:tcW w:w="307" w:type="dxa"/>
            <w:gridSpan w:val="2"/>
            <w:vMerge w:val="restart"/>
            <w:tcBorders>
              <w:top w:val="single" w:color="FFFFFF" w:sz="4" w:space="0"/>
              <w:left w:val="single" w:color="FFFFFF" w:sz="4" w:space="0"/>
              <w:bottom w:val="single" w:color="FFFFFF" w:sz="4" w:space="0"/>
              <w:right w:val="single" w:color="FFFFFF" w:sz="4" w:space="0"/>
            </w:tcBorders>
            <w:shd w:val="clear" w:color="auto" w:fill="auto"/>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p>
        </w:tc>
        <w:tc>
          <w:tcPr>
            <w:tcW w:w="2577" w:type="dxa"/>
            <w:vMerge w:val="restart"/>
            <w:tcBorders>
              <w:top w:val="single" w:color="FFFFFF" w:sz="4" w:space="0"/>
              <w:left w:val="single" w:color="FFFFFF" w:sz="4" w:space="0"/>
              <w:right w:val="single" w:color="FFFFFF" w:sz="4" w:space="0"/>
            </w:tcBorders>
            <w:shd w:val="clear" w:color="auto" w:fill="auto"/>
          </w:tcPr>
          <w:p>
            <w:pPr>
              <w:spacing w:before="93" w:beforeLines="30"/>
              <w:rPr>
                <w:rFonts w:ascii="Arial" w:hAnsi="Arial" w:cs="Arial"/>
                <w:b/>
                <w:bCs/>
                <w:color w:val="E60044"/>
                <w:szCs w:val="21"/>
              </w:rPr>
            </w:pPr>
            <w:r>
              <w:rPr>
                <w:rFonts w:hint="eastAsia" w:ascii="Arial" w:hAnsi="Arial" w:cs="Arial"/>
                <w:b/>
                <w:bCs/>
                <w:color w:val="E60044"/>
                <w:szCs w:val="21"/>
              </w:rPr>
              <w:t>摩登城堡：</w:t>
            </w:r>
          </w:p>
          <w:p>
            <w:pPr>
              <w:spacing w:line="280" w:lineRule="exact"/>
              <w:rPr>
                <w:rFonts w:ascii="宋体" w:hAnsi="宋体"/>
                <w:sz w:val="18"/>
                <w:szCs w:val="18"/>
              </w:rPr>
            </w:pPr>
            <w:r>
              <w:rPr>
                <w:rFonts w:hint="eastAsia" w:ascii="宋体" w:hAnsi="宋体"/>
                <w:sz w:val="18"/>
                <w:szCs w:val="18"/>
              </w:rPr>
              <w:t>2晚三亚希尔顿花园酒店·花园海景房（或同级酒店），搭配海口当地五星标准酒店，品味度假，尊享品质</w:t>
            </w:r>
          </w:p>
          <w:p>
            <w:pPr>
              <w:spacing w:line="280" w:lineRule="exact"/>
              <w:rPr>
                <w:rFonts w:ascii="宋体" w:hAnsi="宋体"/>
                <w:sz w:val="20"/>
                <w:szCs w:val="20"/>
              </w:rPr>
            </w:pPr>
            <w:r>
              <w:rPr>
                <w:rFonts w:hint="eastAsia" w:ascii="宋体" w:hAnsi="宋体"/>
                <w:color w:val="FF0000"/>
                <w:sz w:val="18"/>
                <w:szCs w:val="18"/>
              </w:rPr>
              <w:t>升级1晚蜜月大床房布置。</w:t>
            </w:r>
          </w:p>
          <w:p>
            <w:pPr>
              <w:spacing w:line="280" w:lineRule="exact"/>
              <w:rPr>
                <w:rFonts w:asciiTheme="minorEastAsia" w:hAnsiTheme="minorEastAsia"/>
                <w:sz w:val="18"/>
                <w:szCs w:val="18"/>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摩登景区：</w:t>
            </w:r>
          </w:p>
          <w:p>
            <w:pPr>
              <w:spacing w:line="280" w:lineRule="exact"/>
              <w:rPr>
                <w:rFonts w:ascii="宋体" w:hAnsi="宋体"/>
                <w:sz w:val="18"/>
                <w:szCs w:val="18"/>
              </w:rPr>
            </w:pPr>
            <w:r>
              <w:rPr>
                <w:rFonts w:hint="eastAsia" w:ascii="宋体" w:hAnsi="宋体"/>
                <w:sz w:val="18"/>
                <w:szCs w:val="18"/>
              </w:rPr>
              <w:t>赠全海景玻璃栈道，亚特兰蒂斯水世界，5A蜈支洲岛、4A天涯海角、4A亚龙湾热带天堂森林公园、千古情景区HOT，轻松行程，深度体验。</w:t>
            </w:r>
          </w:p>
          <w:p>
            <w:pPr>
              <w:spacing w:line="280" w:lineRule="exact"/>
              <w:rPr>
                <w:rFonts w:ascii="宋体" w:hAnsi="宋体"/>
                <w:sz w:val="18"/>
                <w:szCs w:val="18"/>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摩登美食：</w:t>
            </w:r>
          </w:p>
          <w:p>
            <w:pPr>
              <w:spacing w:line="280" w:lineRule="exact"/>
              <w:rPr>
                <w:rFonts w:ascii="宋体" w:hAnsi="宋体"/>
                <w:sz w:val="20"/>
                <w:szCs w:val="20"/>
              </w:rPr>
            </w:pPr>
            <w:r>
              <w:rPr>
                <w:rFonts w:hint="eastAsia" w:ascii="宋体" w:hAnsi="宋体"/>
                <w:sz w:val="18"/>
                <w:szCs w:val="18"/>
              </w:rPr>
              <w:t>升级品鉴“蟹鲍海鲜餐1份/人”1次</w:t>
            </w:r>
          </w:p>
          <w:p>
            <w:pPr>
              <w:spacing w:line="280" w:lineRule="exact"/>
              <w:rPr>
                <w:rFonts w:ascii="宋体" w:hAnsi="宋体"/>
                <w:sz w:val="20"/>
                <w:szCs w:val="20"/>
              </w:rPr>
            </w:pPr>
          </w:p>
          <w:p>
            <w:pPr>
              <w:spacing w:line="280" w:lineRule="exact"/>
              <w:rPr>
                <w:rFonts w:ascii="Arial" w:hAnsi="Arial" w:cs="Arial"/>
                <w:b/>
                <w:bCs/>
                <w:color w:val="E60044"/>
                <w:szCs w:val="21"/>
              </w:rPr>
            </w:pPr>
            <w:r>
              <w:rPr>
                <w:rFonts w:hint="eastAsia" w:ascii="Arial" w:hAnsi="Arial" w:cs="Arial"/>
                <w:b/>
                <w:bCs/>
                <w:color w:val="E60044"/>
                <w:szCs w:val="21"/>
              </w:rPr>
              <w:t>接待诚诺：</w:t>
            </w:r>
          </w:p>
          <w:p>
            <w:pPr>
              <w:spacing w:after="156" w:afterLines="50" w:line="280" w:lineRule="exact"/>
              <w:rPr>
                <w:rFonts w:ascii="宋体" w:hAnsi="宋体"/>
                <w:color w:val="C00000"/>
                <w:sz w:val="18"/>
                <w:szCs w:val="18"/>
              </w:rPr>
            </w:pPr>
            <w:r>
              <w:rPr>
                <w:rFonts w:hint="eastAsia" w:ascii="宋体" w:hAnsi="宋体"/>
                <w:sz w:val="18"/>
                <w:szCs w:val="18"/>
              </w:rPr>
              <w:t>0自费：全程不增加任何自费景点和购物店，违约赔付2000元/人（潜水等海上项目和景区内表演、特色项目除外）。</w:t>
            </w:r>
          </w:p>
        </w:tc>
      </w:tr>
      <w:tr>
        <w:tblPrEx>
          <w:tblLayout w:type="fixed"/>
          <w:tblCellMar>
            <w:top w:w="57" w:type="dxa"/>
            <w:left w:w="57" w:type="dxa"/>
            <w:bottom w:w="57" w:type="dxa"/>
            <w:right w:w="57" w:type="dxa"/>
          </w:tblCellMar>
        </w:tblPrEx>
        <w:trPr>
          <w:trHeight w:val="409" w:hRule="atLeast"/>
          <w:jc w:val="center"/>
        </w:trPr>
        <w:tc>
          <w:tcPr>
            <w:tcW w:w="1863" w:type="dxa"/>
            <w:tcBorders>
              <w:bottom w:val="single" w:color="D8D8D8" w:themeColor="background1" w:themeShade="D9"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D1</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出发地 &gt;&gt; 海口</w:t>
            </w:r>
          </w:p>
        </w:tc>
        <w:tc>
          <w:tcPr>
            <w:tcW w:w="6478" w:type="dxa"/>
            <w:tcBorders>
              <w:bottom w:val="single" w:color="D8D8D8" w:themeColor="background1" w:themeShade="D9" w:sz="4" w:space="0"/>
            </w:tcBorders>
            <w:shd w:val="clear" w:color="auto" w:fill="auto"/>
            <w:vAlign w:val="center"/>
          </w:tcPr>
          <w:p>
            <w:pPr>
              <w:spacing w:line="25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乘机抵达美丽海南岛，沿途欣赏海岛美景，回酒店休息，期待明天的精彩旅程。</w:t>
            </w:r>
          </w:p>
          <w:p>
            <w:pPr>
              <w:spacing w:line="25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line="25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敬请自理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tcPr>
          <w:p>
            <w:pPr>
              <w:spacing w:after="156" w:afterLines="50" w:line="280" w:lineRule="exact"/>
              <w:rPr>
                <w:rFonts w:ascii="宋体" w:hAnsi="宋体"/>
                <w:color w:val="C00000"/>
                <w:sz w:val="18"/>
                <w:szCs w:val="18"/>
              </w:rPr>
            </w:pPr>
          </w:p>
        </w:tc>
      </w:tr>
      <w:tr>
        <w:tblPrEx>
          <w:tblLayout w:type="fixed"/>
          <w:tblCellMar>
            <w:top w:w="57" w:type="dxa"/>
            <w:left w:w="57" w:type="dxa"/>
            <w:bottom w:w="57" w:type="dxa"/>
            <w:right w:w="57" w:type="dxa"/>
          </w:tblCellMar>
        </w:tblPrEx>
        <w:trPr>
          <w:trHeight w:val="1378" w:hRule="atLeast"/>
          <w:jc w:val="center"/>
        </w:trPr>
        <w:tc>
          <w:tcPr>
            <w:tcW w:w="1863" w:type="dxa"/>
            <w:tcBorders>
              <w:top w:val="single" w:color="D8D8D8" w:themeColor="background1" w:themeShade="D9" w:sz="4" w:space="0"/>
              <w:bottom w:val="single" w:color="D8D8D8" w:themeColor="background1" w:themeShade="D9"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D2</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海口 &gt;&gt; 三亚</w:t>
            </w:r>
          </w:p>
        </w:tc>
        <w:tc>
          <w:tcPr>
            <w:tcW w:w="6478" w:type="dxa"/>
            <w:tcBorders>
              <w:top w:val="single" w:color="D8D8D8" w:themeColor="background1" w:themeShade="D9" w:sz="4" w:space="0"/>
              <w:bottom w:val="single" w:color="D8D8D8" w:themeColor="background1" w:themeShade="D9" w:sz="4" w:space="0"/>
            </w:tcBorders>
            <w:shd w:val="clear" w:color="auto" w:fill="auto"/>
            <w:vAlign w:val="center"/>
          </w:tcPr>
          <w:p>
            <w:pPr>
              <w:spacing w:line="240" w:lineRule="exact"/>
              <w:rPr>
                <w:b/>
                <w:bCs/>
                <w:color w:val="E60044"/>
                <w:sz w:val="18"/>
                <w:szCs w:val="18"/>
              </w:rPr>
            </w:pPr>
            <w:r>
              <w:rPr>
                <w:rFonts w:hint="eastAsia"/>
                <w:color w:val="E60044"/>
                <w:sz w:val="18"/>
                <w:szCs w:val="18"/>
              </w:rPr>
              <w:t>景点安排：</w:t>
            </w:r>
            <w:r>
              <w:rPr>
                <w:rFonts w:hint="eastAsia"/>
                <w:b/>
                <w:bCs/>
                <w:color w:val="E60044"/>
                <w:sz w:val="18"/>
                <w:szCs w:val="18"/>
              </w:rPr>
              <w:t>蜈支洲岛</w:t>
            </w:r>
          </w:p>
          <w:p>
            <w:pPr>
              <w:pStyle w:val="5"/>
              <w:spacing w:before="31" w:beforeLines="10" w:beforeAutospacing="0" w:after="31" w:afterLines="10" w:afterAutospacing="0" w:line="240" w:lineRule="exact"/>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【蜈支洲岛】：</w:t>
            </w:r>
            <w:r>
              <w:rPr>
                <w:rFonts w:hint="eastAsia"/>
                <w:color w:val="262626" w:themeColor="text1" w:themeTint="D9"/>
                <w:sz w:val="18"/>
                <w:szCs w:val="18"/>
                <w14:textFill>
                  <w14:solidFill>
                    <w14:schemeClr w14:val="tx1">
                      <w14:lumMod w14:val="85000"/>
                      <w14:lumOff w14:val="15000"/>
                    </w14:schemeClr>
                  </w14:solidFill>
                </w14:textFill>
              </w:rPr>
              <w:t>（游览时间不少于180分钟，含上下岛时间，海上项目自理）国家5A级海岛，集丰富性与独特性于一体。沙质洁白细腻、海域清澈透明，海水能见度6—27米。30余项海上和潜水娱乐项目（自费），给前来观光和度假的旅游者带来原始、静谧、浪漫和 动感时尚的休闲体验。</w:t>
            </w:r>
          </w:p>
          <w:p>
            <w:pPr>
              <w:spacing w:line="240" w:lineRule="exact"/>
              <w:rPr>
                <w:sz w:val="18"/>
                <w:szCs w:val="18"/>
              </w:rPr>
            </w:pPr>
            <w:r>
              <w:rPr>
                <w:rFonts w:hint="eastAsia" w:ascii="宋体" w:hAnsi="宋体"/>
                <w:color w:val="E60044"/>
                <w:sz w:val="18"/>
                <w:szCs w:val="18"/>
              </w:rPr>
              <w:t>住宿安排：</w:t>
            </w:r>
            <w:r>
              <w:rPr>
                <w:rFonts w:hint="eastAsia"/>
                <w:sz w:val="18"/>
                <w:szCs w:val="18"/>
              </w:rPr>
              <w:t>指定酒店</w:t>
            </w:r>
          </w:p>
          <w:p>
            <w:pPr>
              <w:spacing w:line="240" w:lineRule="exact"/>
              <w:rPr>
                <w:b/>
                <w:bCs/>
                <w:color w:val="262626" w:themeColor="text1" w:themeTint="D9"/>
                <w:szCs w:val="21"/>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中餐：自理    晚餐：含</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1582" w:hRule="atLeast"/>
          <w:jc w:val="center"/>
        </w:trPr>
        <w:tc>
          <w:tcPr>
            <w:tcW w:w="1863" w:type="dxa"/>
            <w:tcBorders>
              <w:top w:val="single" w:color="D8D8D8" w:themeColor="background1" w:themeShade="D9" w:sz="4" w:space="0"/>
              <w:bottom w:val="single" w:color="D8D8D8" w:themeColor="background1" w:themeShade="D9"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D3</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8D8D8" w:themeColor="background1" w:themeShade="D9" w:sz="4" w:space="0"/>
              <w:bottom w:val="single" w:color="D8D8D8" w:themeColor="background1" w:themeShade="D9" w:sz="4" w:space="0"/>
            </w:tcBorders>
            <w:shd w:val="clear" w:color="auto" w:fill="auto"/>
            <w:vAlign w:val="center"/>
          </w:tcPr>
          <w:p>
            <w:pPr>
              <w:rPr>
                <w:b/>
                <w:bCs/>
                <w:color w:val="E60044"/>
                <w:sz w:val="18"/>
                <w:szCs w:val="18"/>
              </w:rPr>
            </w:pPr>
            <w:r>
              <w:rPr>
                <w:rFonts w:hint="eastAsia"/>
                <w:color w:val="E60044"/>
                <w:sz w:val="18"/>
                <w:szCs w:val="18"/>
              </w:rPr>
              <w:t>景点安排：</w:t>
            </w:r>
            <w:r>
              <w:rPr>
                <w:rFonts w:hint="eastAsia"/>
                <w:b/>
                <w:bCs/>
                <w:color w:val="E60044"/>
                <w:sz w:val="18"/>
                <w:szCs w:val="18"/>
                <w:lang w:val="zh-TW"/>
              </w:rPr>
              <w:t>天涯海角</w:t>
            </w:r>
            <w:r>
              <w:rPr>
                <w:rFonts w:hint="eastAsia"/>
                <w:b/>
                <w:bCs/>
                <w:color w:val="E60044"/>
                <w:sz w:val="18"/>
                <w:szCs w:val="18"/>
              </w:rPr>
              <w:t>—赠宋城千古情景区—亚特兰蒂斯水世界</w:t>
            </w:r>
          </w:p>
          <w:p>
            <w:pPr>
              <w:rPr>
                <w:rFonts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eastAsia="宋体" w:cs="宋体"/>
                <w:b/>
                <w:bCs/>
                <w:color w:val="262626" w:themeColor="text1" w:themeTint="D9"/>
                <w:sz w:val="18"/>
                <w:szCs w:val="18"/>
                <w14:textFill>
                  <w14:solidFill>
                    <w14:schemeClr w14:val="tx1">
                      <w14:lumMod w14:val="85000"/>
                      <w14:lumOff w14:val="15000"/>
                    </w14:schemeClr>
                  </w14:solidFill>
                </w14:textFill>
              </w:rPr>
              <w:t>【天涯海角】：</w:t>
            </w:r>
            <w:r>
              <w:rPr>
                <w:rFonts w:hint="eastAsia" w:eastAsia="宋体" w:cs="宋体"/>
                <w:color w:val="262626" w:themeColor="text1" w:themeTint="D9"/>
                <w:sz w:val="18"/>
                <w:szCs w:val="18"/>
                <w:lang w:val="zh-TW" w:eastAsia="zh-TW"/>
                <w14:textFill>
                  <w14:solidFill>
                    <w14:schemeClr w14:val="tx1">
                      <w14:lumMod w14:val="85000"/>
                      <w14:lumOff w14:val="15000"/>
                    </w14:schemeClr>
                  </w14:solidFill>
                </w14:textFill>
              </w:rPr>
              <w:t>（游览时间不少于120分钟）国家级风景名胜，海南标志性景区，景区依山傍海，碧海、青山、白沙、巨磊、礁盘，浑然一体，宛若七彩交融的丹青画屏；椰林、波涛、渔舟、鸥燕、云霞，辉映点衬，形成了南国独特的椰风海韵。</w:t>
            </w:r>
          </w:p>
          <w:p>
            <w:pPr>
              <w:rPr>
                <w:rFonts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赠送【宋城千古情】：</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120</w:t>
            </w:r>
            <w:r>
              <w:rPr>
                <w:rFonts w:hint="eastAsia"/>
                <w:color w:val="262626" w:themeColor="text1" w:themeTint="D9"/>
                <w:sz w:val="18"/>
                <w:szCs w:val="18"/>
                <w14:textFill>
                  <w14:solidFill>
                    <w14:schemeClr w14:val="tx1">
                      <w14:lumMod w14:val="85000"/>
                      <w14:lumOff w14:val="15000"/>
                    </w14:schemeClr>
                  </w14:solidFill>
                </w14:textFill>
              </w:rPr>
              <w:t>分钟，不含演出）这里有历史复苏的各种盛筵、精彩的民俗演出、有趣的现场互动、仿佛静止千年的黎村苗寨。</w:t>
            </w:r>
          </w:p>
          <w:p>
            <w:pPr>
              <w:rPr>
                <w:rFonts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b/>
                <w:color w:val="262626" w:themeColor="text1" w:themeTint="D9"/>
                <w:sz w:val="18"/>
                <w:szCs w:val="18"/>
                <w14:textFill>
                  <w14:solidFill>
                    <w14:schemeClr w14:val="tx1">
                      <w14:lumMod w14:val="85000"/>
                      <w14:lumOff w14:val="15000"/>
                    </w14:schemeClr>
                  </w14:solidFill>
                </w14:textFill>
              </w:rPr>
              <w:t>【亚特兰蒂斯水世界】：</w:t>
            </w:r>
            <w:r>
              <w:rPr>
                <w:rFonts w:hint="eastAsia" w:eastAsia="宋体" w:cs="宋体"/>
                <w:color w:val="262626" w:themeColor="text1" w:themeTint="D9"/>
                <w:sz w:val="18"/>
                <w:szCs w:val="18"/>
                <w:lang w:val="zh-TW" w:eastAsia="zh-TW"/>
                <w14:textFill>
                  <w14:solidFill>
                    <w14:schemeClr w14:val="tx1">
                      <w14:lumMod w14:val="85000"/>
                      <w14:lumOff w14:val="15000"/>
                    </w14:schemeClr>
                  </w14:solidFill>
                </w14:textFill>
              </w:rPr>
              <w:t>（游览时间不少于180分钟）</w:t>
            </w:r>
            <w:r>
              <w:rPr>
                <w:rFonts w:hint="eastAsia"/>
                <w:color w:val="262626" w:themeColor="text1" w:themeTint="D9"/>
                <w:sz w:val="18"/>
                <w:szCs w:val="18"/>
                <w14:textFill>
                  <w14:solidFill>
                    <w14:schemeClr w14:val="tx1">
                      <w14:lumMod w14:val="85000"/>
                      <w14:lumOff w14:val="15000"/>
                    </w14:schemeClr>
                  </w14:solidFill>
                </w14:textFill>
              </w:rPr>
              <w:t>按照国际领先标准建造，拥有目前世界最先进的设备，其滑道总长达到</w:t>
            </w:r>
            <w:r>
              <w:rPr>
                <w:color w:val="262626" w:themeColor="text1" w:themeTint="D9"/>
                <w:sz w:val="18"/>
                <w:szCs w:val="18"/>
                <w14:textFill>
                  <w14:solidFill>
                    <w14:schemeClr w14:val="tx1">
                      <w14:lumMod w14:val="85000"/>
                      <w14:lumOff w14:val="15000"/>
                    </w14:schemeClr>
                  </w14:solidFill>
                </w14:textFill>
              </w:rPr>
              <w:t xml:space="preserve"> 2510 </w:t>
            </w:r>
            <w:r>
              <w:rPr>
                <w:rFonts w:hint="eastAsia"/>
                <w:color w:val="262626" w:themeColor="text1" w:themeTint="D9"/>
                <w:sz w:val="18"/>
                <w:szCs w:val="18"/>
                <w14:textFill>
                  <w14:solidFill>
                    <w14:schemeClr w14:val="tx1">
                      <w14:lumMod w14:val="85000"/>
                      <w14:lumOff w14:val="15000"/>
                    </w14:schemeClr>
                  </w14:solidFill>
                </w14:textFill>
              </w:rPr>
              <w:t>米，园区占地超过</w:t>
            </w:r>
            <w:r>
              <w:rPr>
                <w:color w:val="262626" w:themeColor="text1" w:themeTint="D9"/>
                <w:sz w:val="18"/>
                <w:szCs w:val="18"/>
                <w14:textFill>
                  <w14:solidFill>
                    <w14:schemeClr w14:val="tx1">
                      <w14:lumMod w14:val="85000"/>
                      <w14:lumOff w14:val="15000"/>
                    </w14:schemeClr>
                  </w14:solidFill>
                </w14:textFill>
              </w:rPr>
              <w:t>20</w:t>
            </w:r>
            <w:r>
              <w:rPr>
                <w:rFonts w:hint="eastAsia"/>
                <w:color w:val="262626" w:themeColor="text1" w:themeTint="D9"/>
                <w:sz w:val="18"/>
                <w:szCs w:val="18"/>
                <w14:textFill>
                  <w14:solidFill>
                    <w14:schemeClr w14:val="tx1">
                      <w14:lumMod w14:val="85000"/>
                      <w14:lumOff w14:val="15000"/>
                    </w14:schemeClr>
                  </w14:solidFill>
                </w14:textFill>
              </w:rPr>
              <w:t>万平方米，吃喝玩一站式体验，嗨到根本就停不下来！（如遇身体不适等特殊情况，则更改为参观</w:t>
            </w:r>
            <w:r>
              <w:rPr>
                <w:rFonts w:hint="eastAsia"/>
                <w:b/>
                <w:color w:val="262626" w:themeColor="text1" w:themeTint="D9"/>
                <w:sz w:val="18"/>
                <w:szCs w:val="18"/>
                <w14:textFill>
                  <w14:solidFill>
                    <w14:schemeClr w14:val="tx1">
                      <w14:lumMod w14:val="85000"/>
                      <w14:lumOff w14:val="15000"/>
                    </w14:schemeClr>
                  </w14:solidFill>
                </w14:textFill>
              </w:rPr>
              <w:t>亚特兰蒂斯水族馆</w:t>
            </w:r>
            <w:r>
              <w:rPr>
                <w:rFonts w:hint="eastAsia"/>
                <w:color w:val="262626" w:themeColor="text1" w:themeTint="D9"/>
                <w:sz w:val="18"/>
                <w:szCs w:val="18"/>
                <w14:textFill>
                  <w14:solidFill>
                    <w14:schemeClr w14:val="tx1">
                      <w14:lumMod w14:val="85000"/>
                      <w14:lumOff w14:val="15000"/>
                    </w14:schemeClr>
                  </w14:solidFill>
                </w14:textFill>
              </w:rPr>
              <w:t>）。</w:t>
            </w:r>
          </w:p>
          <w:p>
            <w:pPr>
              <w:spacing w:line="25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line="250" w:lineRule="exact"/>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中餐：含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2277" w:hRule="atLeast"/>
          <w:jc w:val="center"/>
        </w:trPr>
        <w:tc>
          <w:tcPr>
            <w:tcW w:w="1863" w:type="dxa"/>
            <w:tcBorders>
              <w:top w:val="single" w:color="D8D8D8" w:themeColor="background1" w:themeShade="D9" w:sz="4" w:space="0"/>
              <w:bottom w:val="single" w:color="D8D8D8" w:themeColor="background1" w:themeShade="D9"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D4</w:t>
            </w:r>
          </w:p>
          <w:p>
            <w:pPr>
              <w:spacing w:line="200" w:lineRule="exact"/>
              <w:rPr>
                <w:rFonts w:hAnsi="宋体"/>
                <w:iCs/>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 &gt;&gt; 海口</w:t>
            </w:r>
          </w:p>
        </w:tc>
        <w:tc>
          <w:tcPr>
            <w:tcW w:w="6478" w:type="dxa"/>
            <w:tcBorders>
              <w:top w:val="single" w:color="D8D8D8" w:themeColor="background1" w:themeShade="D9" w:sz="4" w:space="0"/>
              <w:bottom w:val="single" w:color="D8D8D8" w:themeColor="background1" w:themeShade="D9" w:sz="4" w:space="0"/>
            </w:tcBorders>
            <w:shd w:val="clear" w:color="auto" w:fill="auto"/>
            <w:vAlign w:val="center"/>
          </w:tcPr>
          <w:p>
            <w:pPr>
              <w:spacing w:line="250" w:lineRule="exact"/>
              <w:rPr>
                <w:b/>
                <w:bCs/>
                <w:color w:val="E60044"/>
                <w:sz w:val="18"/>
                <w:szCs w:val="18"/>
              </w:rPr>
            </w:pPr>
            <w:r>
              <w:rPr>
                <w:rFonts w:hint="eastAsia"/>
                <w:color w:val="E60044"/>
                <w:sz w:val="18"/>
                <w:szCs w:val="18"/>
              </w:rPr>
              <w:t>景点安排：</w:t>
            </w:r>
            <w:r>
              <w:rPr>
                <w:rFonts w:hint="eastAsia"/>
                <w:b/>
                <w:bCs/>
                <w:color w:val="E60044"/>
                <w:sz w:val="18"/>
                <w:szCs w:val="18"/>
              </w:rPr>
              <w:t>美丽商城—亚龙湾天堂森林公园（赠全海景玻璃栈道）—热带农业示范基地</w:t>
            </w:r>
          </w:p>
          <w:p>
            <w:pPr>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美丽商城：</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分钟）展示珠宝玉石文化，领略“美丽三亚，浪漫天涯”的魅力元素。</w:t>
            </w:r>
          </w:p>
          <w:p>
            <w:pPr>
              <w:rPr>
                <w:rFonts w:asciiTheme="minorEastAsia" w:hAnsiTheme="minorEastAsia"/>
                <w:sz w:val="18"/>
                <w:szCs w:val="18"/>
              </w:rPr>
            </w:pPr>
            <w:r>
              <w:rPr>
                <w:rFonts w:hint="eastAsia" w:asciiTheme="minorEastAsia" w:hAnsiTheme="minorEastAsia"/>
                <w:b/>
                <w:bCs/>
                <w:sz w:val="18"/>
                <w:szCs w:val="18"/>
              </w:rPr>
              <w:t>【亚龙湾热带天堂森林公园】：</w:t>
            </w:r>
            <w:r>
              <w:rPr>
                <w:rFonts w:hint="eastAsia" w:asciiTheme="minorEastAsia" w:hAnsiTheme="minorEastAsia"/>
                <w:sz w:val="18"/>
                <w:szCs w:val="18"/>
              </w:rPr>
              <w:t>（游览不少于150分钟）“面朝大海，背靠青山，四季花开。” 三亚的天然大氧吧，拥有良好的热带雨林生态资源，景区内美丽的自然风光占据了冯小刚著名电影《非诚勿扰2》三分之二以上镜头，成为情侣们公认的爱情圣地，至今热度不减。</w:t>
            </w:r>
          </w:p>
          <w:p>
            <w:pPr>
              <w:spacing w:before="31" w:beforeLines="10" w:after="31" w:afterLines="10"/>
              <w:rPr>
                <w:color w:val="262626" w:themeColor="text1" w:themeTint="D9"/>
                <w:sz w:val="18"/>
                <w:szCs w:val="18"/>
                <w14:textFill>
                  <w14:solidFill>
                    <w14:schemeClr w14:val="tx1">
                      <w14:lumMod w14:val="85000"/>
                      <w14:lumOff w14:val="15000"/>
                    </w14:schemeClr>
                  </w14:solidFill>
                </w14:textFill>
              </w:rPr>
            </w:pPr>
            <w:r>
              <w:rPr>
                <w:rFonts w:hint="eastAsia" w:asciiTheme="minorEastAsia" w:hAnsiTheme="minorEastAsia"/>
                <w:sz w:val="18"/>
                <w:szCs w:val="18"/>
              </w:rPr>
              <w:t>NEW打卡圣地：赠送体验·网红都还没来得及体验的全国首个“</w:t>
            </w:r>
            <w:r>
              <w:rPr>
                <w:rFonts w:hint="eastAsia" w:asciiTheme="minorEastAsia" w:hAnsiTheme="minorEastAsia"/>
                <w:b/>
                <w:sz w:val="18"/>
                <w:szCs w:val="18"/>
              </w:rPr>
              <w:t>全海景玻璃栈道</w:t>
            </w:r>
            <w:r>
              <w:rPr>
                <w:rFonts w:hint="eastAsia" w:asciiTheme="minorEastAsia" w:hAnsiTheme="minorEastAsia"/>
                <w:sz w:val="18"/>
                <w:szCs w:val="18"/>
              </w:rPr>
              <w:t>”， 站在上面仿佛凌空行走，脚下被大片热带绿植环抱，眼前是宽阔蔚蓝的大海，如此美景快上抖音发起挑战吧！</w:t>
            </w:r>
          </w:p>
          <w:p>
            <w:pPr>
              <w:spacing w:line="250" w:lineRule="exact"/>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热带农业示范基地：</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分钟），在这里了解海南独特的天然橡胶文化，秉承“科技、环保、健康、时尚”的理念，精湛制作各种工艺产品，打造轻松休闲的生活方式。</w:t>
            </w:r>
          </w:p>
          <w:p>
            <w:pPr>
              <w:spacing w:line="25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line="250" w:lineRule="exact"/>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中餐：含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1171" w:hRule="atLeast"/>
          <w:jc w:val="center"/>
        </w:trPr>
        <w:tc>
          <w:tcPr>
            <w:tcW w:w="1863" w:type="dxa"/>
            <w:tcBorders>
              <w:top w:val="single" w:color="D8D8D8" w:themeColor="background1" w:themeShade="D9" w:sz="4" w:space="0"/>
            </w:tcBorders>
            <w:shd w:val="clear" w:color="auto" w:fill="auto"/>
          </w:tcPr>
          <w:p>
            <w:pPr>
              <w:spacing w:line="160" w:lineRule="atLeas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D5</w:t>
            </w:r>
          </w:p>
          <w:p>
            <w:pPr>
              <w:spacing w:line="160" w:lineRule="atLeast"/>
              <w:rPr>
                <w:rFonts w:hAnsi="宋体" w:eastAsia="宋体"/>
                <w:b/>
                <w:bCs/>
                <w:iCs/>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海口 &gt;&gt; 温馨的家</w:t>
            </w:r>
          </w:p>
        </w:tc>
        <w:tc>
          <w:tcPr>
            <w:tcW w:w="6478" w:type="dxa"/>
            <w:tcBorders>
              <w:top w:val="single" w:color="D8D8D8" w:themeColor="background1" w:themeShade="D9" w:sz="4" w:space="0"/>
            </w:tcBorders>
            <w:shd w:val="clear" w:color="auto" w:fill="auto"/>
            <w:vAlign w:val="center"/>
          </w:tcPr>
          <w:p>
            <w:pPr>
              <w:spacing w:before="31" w:beforeLines="10" w:after="31" w:afterLines="10" w:line="274" w:lineRule="exact"/>
              <w:rPr>
                <w:sz w:val="18"/>
                <w:szCs w:val="18"/>
                <w:lang w:val="zh-TW"/>
              </w:rPr>
            </w:pPr>
            <w:r>
              <w:rPr>
                <w:rFonts w:hint="eastAsia"/>
                <w:sz w:val="18"/>
                <w:szCs w:val="18"/>
                <w:lang w:val="zh-TW"/>
              </w:rPr>
              <w:t>专人送机，乘机返回温馨家园（酒店退房时间为中午</w:t>
            </w:r>
            <w:r>
              <w:rPr>
                <w:sz w:val="18"/>
                <w:szCs w:val="18"/>
                <w:lang w:val="zh-TW"/>
              </w:rPr>
              <w:t>12</w:t>
            </w:r>
            <w:r>
              <w:rPr>
                <w:rFonts w:hint="eastAsia"/>
                <w:sz w:val="18"/>
                <w:szCs w:val="18"/>
                <w:lang w:val="zh-TW"/>
              </w:rPr>
              <w:t>点前）。</w:t>
            </w:r>
          </w:p>
          <w:p>
            <w:pPr>
              <w:spacing w:before="31" w:beforeLines="10" w:after="31" w:afterLines="10" w:line="274" w:lineRule="exact"/>
              <w:rPr>
                <w:sz w:val="18"/>
                <w:szCs w:val="18"/>
                <w:lang w:val="zh-TW"/>
              </w:rPr>
            </w:pPr>
            <w:r>
              <w:rPr>
                <w:rFonts w:hint="eastAsia"/>
                <w:color w:val="E60044"/>
                <w:sz w:val="18"/>
                <w:szCs w:val="18"/>
                <w:lang w:val="zh-TW"/>
              </w:rPr>
              <w:t>餐饮安排：</w:t>
            </w:r>
            <w:r>
              <w:rPr>
                <w:rFonts w:hint="eastAsia"/>
                <w:sz w:val="18"/>
                <w:szCs w:val="18"/>
                <w:lang w:val="zh-TW"/>
              </w:rPr>
              <w:t>早餐：酒店用餐   中餐：自理   晚餐：自理</w:t>
            </w:r>
          </w:p>
          <w:p>
            <w:pPr>
              <w:spacing w:before="31" w:beforeLines="10" w:after="31" w:afterLines="10" w:line="274" w:lineRule="exact"/>
              <w:rPr>
                <w:sz w:val="18"/>
                <w:szCs w:val="18"/>
                <w:lang w:val="zh-TW"/>
              </w:rPr>
            </w:pPr>
          </w:p>
          <w:p>
            <w:pPr>
              <w:spacing w:before="31" w:beforeLines="10" w:after="31" w:afterLines="10" w:line="274" w:lineRule="exact"/>
              <w:rPr>
                <w:sz w:val="18"/>
                <w:szCs w:val="18"/>
                <w:lang w:val="zh-TW"/>
              </w:rPr>
            </w:pPr>
            <w:r>
              <w:rPr>
                <w:rFonts w:hint="eastAsia"/>
                <w:color w:val="808080" w:themeColor="text1" w:themeTint="80"/>
                <w:sz w:val="18"/>
                <w:szCs w:val="18"/>
                <w:u w:val="single"/>
                <w:lang w:val="zh-TW"/>
                <w14:textFill>
                  <w14:solidFill>
                    <w14:schemeClr w14:val="tx1">
                      <w14:lumMod w14:val="50000"/>
                      <w14:lumOff w14:val="50000"/>
                    </w14:schemeClr>
                  </w14:solidFill>
                </w14:textFill>
              </w:rPr>
              <w:t>注明：以上行程景点浏览仅供参考，在不减少景点情况下将对行程游览顺序进行调整，具体游览顺序请以实际出游为准。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c>
          <w:tcPr>
            <w:tcW w:w="2577" w:type="dxa"/>
            <w:vMerge w:val="continue"/>
            <w:tcBorders>
              <w:left w:val="single" w:color="FFFFFF" w:sz="4" w:space="0"/>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r>
    </w:tbl>
    <w:p>
      <w:r>
        <w:br w:type="page"/>
      </w:r>
    </w:p>
    <w:tbl>
      <w:tblPr>
        <w:tblStyle w:val="6"/>
        <w:tblW w:w="11225" w:type="dxa"/>
        <w:jc w:val="center"/>
        <w:tblInd w:w="0" w:type="dxa"/>
        <w:tblLayout w:type="fixed"/>
        <w:tblCellMar>
          <w:top w:w="113" w:type="dxa"/>
          <w:left w:w="57" w:type="dxa"/>
          <w:bottom w:w="113" w:type="dxa"/>
          <w:right w:w="57" w:type="dxa"/>
        </w:tblCellMar>
      </w:tblPr>
      <w:tblGrid>
        <w:gridCol w:w="1689"/>
        <w:gridCol w:w="9536"/>
      </w:tblGrid>
      <w:tr>
        <w:tblPrEx>
          <w:tblLayout w:type="fixed"/>
          <w:tblCellMar>
            <w:top w:w="113" w:type="dxa"/>
            <w:left w:w="57" w:type="dxa"/>
            <w:bottom w:w="113" w:type="dxa"/>
            <w:right w:w="57" w:type="dxa"/>
          </w:tblCellMar>
        </w:tblPrEx>
        <w:trPr>
          <w:trHeight w:val="270" w:hRule="atLeast"/>
          <w:jc w:val="center"/>
        </w:trPr>
        <w:tc>
          <w:tcPr>
            <w:tcW w:w="11225" w:type="dxa"/>
            <w:gridSpan w:val="2"/>
            <w:tcBorders>
              <w:bottom w:val="single" w:color="E60044" w:sz="4" w:space="0"/>
              <w:tl2br w:val="nil"/>
              <w:tr2bl w:val="nil"/>
            </w:tcBorders>
            <w:shd w:val="clear" w:color="auto" w:fill="auto"/>
            <w:vAlign w:val="center"/>
          </w:tcPr>
          <w:p>
            <w:pPr>
              <w:jc w:val="center"/>
              <w:rPr>
                <w:color w:val="E60044"/>
              </w:rPr>
            </w:pPr>
            <w:r>
              <w:rPr>
                <w:rFonts w:hint="eastAsia" w:ascii="宋体" w:hAnsi="宋体"/>
                <w:b/>
                <w:color w:val="E60044"/>
                <w:sz w:val="28"/>
                <w:szCs w:val="28"/>
              </w:rPr>
              <w:t>费用包含</w:t>
            </w:r>
          </w:p>
        </w:tc>
      </w:tr>
      <w:tr>
        <w:tblPrEx>
          <w:tblLayout w:type="fixed"/>
          <w:tblCellMar>
            <w:top w:w="113" w:type="dxa"/>
            <w:left w:w="57" w:type="dxa"/>
            <w:bottom w:w="113" w:type="dxa"/>
            <w:right w:w="57" w:type="dxa"/>
          </w:tblCellMar>
        </w:tblPrEx>
        <w:trPr>
          <w:trHeight w:val="2382" w:hRule="atLeast"/>
          <w:jc w:val="center"/>
        </w:trPr>
        <w:tc>
          <w:tcPr>
            <w:tcW w:w="11225" w:type="dxa"/>
            <w:gridSpan w:val="2"/>
            <w:tcBorders>
              <w:top w:val="single" w:color="E60044" w:sz="4" w:space="0"/>
              <w:left w:val="single" w:color="FFFFFF" w:sz="4" w:space="0"/>
              <w:right w:val="single" w:color="FFFFFF" w:sz="4" w:space="0"/>
              <w:tl2br w:val="nil"/>
              <w:tr2bl w:val="nil"/>
            </w:tcBorders>
            <w:shd w:val="clear" w:color="auto" w:fill="auto"/>
          </w:tcPr>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旅游交通：</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往返机票、机建燃油、海南当地</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VIP</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空调旅游车，</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正座（</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26</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座以下无行李箱）；</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住宿标准：</w:t>
            </w:r>
            <w:r>
              <w:rPr>
                <w:rFonts w:hint="eastAsia" w:ascii="宋体" w:hAnsi="宋体"/>
                <w:sz w:val="18"/>
                <w:szCs w:val="18"/>
              </w:rPr>
              <w:t>2晚三亚希尔顿花园酒店花园海景房，搭配海口指定酒店</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景点门票：</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报价包含景点首道门票（不含景区内设自费项目，另有约定除外）；</w:t>
            </w:r>
          </w:p>
          <w:p>
            <w:pPr>
              <w:spacing w:line="280" w:lineRule="exact"/>
              <w:rPr>
                <w:rFonts w:ascii="宋体" w:hAnsi="宋体"/>
                <w:sz w:val="20"/>
                <w:szCs w:val="20"/>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用餐标准：</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全程</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3</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正4早，正餐标</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3</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0元/人/餐</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w:t>
            </w:r>
            <w:r>
              <w:rPr>
                <w:rFonts w:hint="eastAsia" w:ascii="宋体" w:hAnsi="宋体"/>
                <w:sz w:val="18"/>
                <w:szCs w:val="18"/>
              </w:rPr>
              <w:t>升级品鉴“蟹鲍海鲜餐1份/人”1次</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保险服务：</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最高保额</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30</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万元</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人海南旅行社责任险；</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导游服务：</w:t>
            </w:r>
            <w:bookmarkStart w:id="0" w:name="_GoBack"/>
            <w:bookmarkEnd w:id="0"/>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持证专业导游，幽默风趣耐心解说、贴心细致管家式服务；</w:t>
            </w:r>
          </w:p>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儿童费用：</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2岁以上1.2米以下儿童只含半价正餐+车位，不含早餐</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特别说明：</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“费用包含说明”内容以外的所有费用不包含。</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color w:val="262626" w:themeColor="text1" w:themeTint="D9"/>
                <w:sz w:val="18"/>
                <w:szCs w:val="18"/>
                <w14:textFill>
                  <w14:solidFill>
                    <w14:schemeClr w14:val="tx1">
                      <w14:lumMod w14:val="85000"/>
                      <w14:lumOff w14:val="15000"/>
                    </w14:schemeClr>
                  </w14:solidFill>
                </w14:textFill>
              </w:rPr>
              <w:t>亚特兰蒂斯水世界·儿童费用参考：</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0.9米以下儿童免费，0.9米以上按成人收费；</w:t>
            </w:r>
          </w:p>
          <w:p>
            <w:pPr>
              <w:spacing w:before="93" w:beforeLines="30" w:after="93" w:afterLines="30" w:line="240" w:lineRule="exact"/>
              <w:jc w:val="left"/>
              <w:rPr>
                <w:rFonts w:ascii="宋体" w:hAnsi="宋体" w:eastAsia="宋体" w:cs="宋体"/>
                <w:b/>
                <w:color w:val="262626" w:themeColor="text1" w:themeTint="D9"/>
                <w:sz w:val="18"/>
                <w:szCs w:val="18"/>
                <w:lang w:val="zh-TW"/>
                <w14:textFill>
                  <w14:solidFill>
                    <w14:schemeClr w14:val="tx1">
                      <w14:lumMod w14:val="85000"/>
                      <w14:lumOff w14:val="15000"/>
                    </w14:schemeClr>
                  </w14:solidFill>
                </w14:textFill>
              </w:rPr>
            </w:pPr>
            <w:r>
              <w:rPr>
                <w:rFonts w:hint="eastAsia" w:ascii="宋体" w:hAnsi="宋体" w:eastAsia="宋体" w:cs="宋体"/>
                <w:b/>
                <w:color w:val="262626" w:themeColor="text1" w:themeTint="D9"/>
                <w:sz w:val="18"/>
                <w:szCs w:val="18"/>
                <w:lang w:val="zh-TW" w:eastAsia="zh-TW"/>
                <w14:textFill>
                  <w14:solidFill>
                    <w14:schemeClr w14:val="tx1">
                      <w14:lumMod w14:val="85000"/>
                      <w14:lumOff w14:val="15000"/>
                    </w14:schemeClr>
                  </w14:solidFill>
                </w14:textFill>
              </w:rPr>
              <w:t>指定酒店儿童早餐价格参考：</w:t>
            </w:r>
          </w:p>
          <w:p>
            <w:pPr>
              <w:spacing w:before="93" w:beforeLines="30" w:after="93" w:afterLines="30" w:line="240" w:lineRule="exact"/>
              <w:jc w:val="left"/>
              <w:rPr>
                <w:color w:val="262626" w:themeColor="text1" w:themeTint="D9"/>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三亚希尔顿花园酒店：成人早餐138元/人，1.2米以下儿童免费早餐，1.2-1.4米以下69元/人，1.4米以上成人价</w:t>
            </w:r>
          </w:p>
        </w:tc>
      </w:tr>
      <w:tr>
        <w:tblPrEx>
          <w:tblLayout w:type="fixed"/>
          <w:tblCellMar>
            <w:top w:w="113" w:type="dxa"/>
            <w:left w:w="57" w:type="dxa"/>
            <w:bottom w:w="113" w:type="dxa"/>
            <w:right w:w="57" w:type="dxa"/>
          </w:tblCellMar>
        </w:tblPrEx>
        <w:trPr>
          <w:trHeight w:val="452" w:hRule="atLeast"/>
          <w:jc w:val="center"/>
        </w:trPr>
        <w:tc>
          <w:tcPr>
            <w:tcW w:w="11225" w:type="dxa"/>
            <w:gridSpan w:val="2"/>
            <w:tcBorders>
              <w:bottom w:val="single" w:color="E60044" w:sz="4" w:space="0"/>
              <w:tl2br w:val="nil"/>
              <w:tr2bl w:val="nil"/>
            </w:tcBorders>
            <w:shd w:val="clear" w:color="auto" w:fill="auto"/>
            <w:vAlign w:val="center"/>
          </w:tcPr>
          <w:p>
            <w:pPr>
              <w:jc w:val="center"/>
              <w:rPr>
                <w:color w:val="E60044"/>
              </w:rPr>
            </w:pPr>
            <w:r>
              <w:rPr>
                <w:rFonts w:hint="eastAsia" w:ascii="宋体" w:hAnsi="宋体"/>
                <w:b/>
                <w:color w:val="E60044"/>
                <w:sz w:val="28"/>
                <w:szCs w:val="28"/>
              </w:rPr>
              <w:t>酒店说明</w:t>
            </w:r>
          </w:p>
        </w:tc>
      </w:tr>
      <w:tr>
        <w:tblPrEx>
          <w:tblLayout w:type="fixed"/>
          <w:tblCellMar>
            <w:top w:w="113" w:type="dxa"/>
            <w:left w:w="57" w:type="dxa"/>
            <w:bottom w:w="113" w:type="dxa"/>
            <w:right w:w="57" w:type="dxa"/>
          </w:tblCellMar>
        </w:tblPrEx>
        <w:trPr>
          <w:trHeight w:val="213" w:hRule="atLeast"/>
          <w:jc w:val="center"/>
        </w:trPr>
        <w:tc>
          <w:tcPr>
            <w:tcW w:w="1689"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地区/标准</w:t>
            </w:r>
          </w:p>
        </w:tc>
        <w:tc>
          <w:tcPr>
            <w:tcW w:w="9536"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指定酒店</w:t>
            </w:r>
          </w:p>
        </w:tc>
      </w:tr>
      <w:tr>
        <w:tblPrEx>
          <w:tblLayout w:type="fixed"/>
          <w:tblCellMar>
            <w:top w:w="113" w:type="dxa"/>
            <w:left w:w="57" w:type="dxa"/>
            <w:bottom w:w="113" w:type="dxa"/>
            <w:right w:w="57" w:type="dxa"/>
          </w:tblCellMar>
        </w:tblPrEx>
        <w:trPr>
          <w:trHeight w:val="175" w:hRule="atLeast"/>
          <w:jc w:val="center"/>
        </w:trPr>
        <w:tc>
          <w:tcPr>
            <w:tcW w:w="1689"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海口·指定酒店</w:t>
            </w:r>
          </w:p>
        </w:tc>
        <w:tc>
          <w:tcPr>
            <w:tcW w:w="9536"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凯宾康年、巨制荷泰、维纳斯、绿地Q酒店、美兰机场酒店、新燕泰、诺富特、宝华</w:t>
            </w:r>
          </w:p>
        </w:tc>
      </w:tr>
      <w:tr>
        <w:tblPrEx>
          <w:tblLayout w:type="fixed"/>
          <w:tblCellMar>
            <w:top w:w="113" w:type="dxa"/>
            <w:left w:w="57" w:type="dxa"/>
            <w:bottom w:w="113" w:type="dxa"/>
            <w:right w:w="57" w:type="dxa"/>
          </w:tblCellMar>
        </w:tblPrEx>
        <w:trPr>
          <w:trHeight w:val="175" w:hRule="atLeast"/>
          <w:jc w:val="center"/>
        </w:trPr>
        <w:tc>
          <w:tcPr>
            <w:tcW w:w="1689"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三亚·指定酒店</w:t>
            </w:r>
          </w:p>
        </w:tc>
        <w:tc>
          <w:tcPr>
            <w:tcW w:w="9536"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希尔顿花园酒店、大东海酒店、洛克铂金、京海假日、海韵、三亚湾假日</w:t>
            </w:r>
          </w:p>
        </w:tc>
      </w:tr>
      <w:tr>
        <w:tblPrEx>
          <w:tblLayout w:type="fixed"/>
          <w:tblCellMar>
            <w:top w:w="113" w:type="dxa"/>
            <w:left w:w="57" w:type="dxa"/>
            <w:bottom w:w="113" w:type="dxa"/>
            <w:right w:w="57" w:type="dxa"/>
          </w:tblCellMar>
        </w:tblPrEx>
        <w:trPr>
          <w:trHeight w:val="596" w:hRule="atLeast"/>
          <w:jc w:val="center"/>
        </w:trPr>
        <w:tc>
          <w:tcPr>
            <w:tcW w:w="11225" w:type="dxa"/>
            <w:gridSpan w:val="2"/>
            <w:tcBorders>
              <w:top w:val="single" w:color="FFFFFF" w:sz="4" w:space="0"/>
              <w:left w:val="single" w:color="FFFFFF" w:sz="4" w:space="0"/>
              <w:right w:val="single" w:color="FFFFFF" w:sz="4" w:space="0"/>
              <w:tl2br w:val="nil"/>
              <w:tr2bl w:val="nil"/>
            </w:tcBorders>
            <w:shd w:val="clear" w:color="auto" w:fill="auto"/>
            <w:vAlign w:val="center"/>
          </w:tcPr>
          <w:p>
            <w:pPr>
              <w:spacing w:line="280" w:lineRule="exact"/>
              <w:rPr>
                <w:color w:val="262626" w:themeColor="text1" w:themeTint="D9"/>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注：1、如遇旺季酒店房型售罄或酒店会议、政府活动占用等情形，我社将会升级至不低于以上所列标准的同类型酒店；2、夫妻情侣可根据房态免费申请大床，需要报名时确认申请；敬请谅解。</w:t>
            </w:r>
          </w:p>
          <w:tbl>
            <w:tblPr>
              <w:tblStyle w:val="6"/>
              <w:tblW w:w="11220" w:type="dxa"/>
              <w:jc w:val="center"/>
              <w:tblInd w:w="0" w:type="dxa"/>
              <w:tblLayout w:type="fixed"/>
              <w:tblCellMar>
                <w:top w:w="113" w:type="dxa"/>
                <w:left w:w="57" w:type="dxa"/>
                <w:bottom w:w="113" w:type="dxa"/>
                <w:right w:w="57" w:type="dxa"/>
              </w:tblCellMar>
            </w:tblPr>
            <w:tblGrid>
              <w:gridCol w:w="1188"/>
              <w:gridCol w:w="10032"/>
            </w:tblGrid>
            <w:tr>
              <w:tblPrEx>
                <w:tblLayout w:type="fixed"/>
                <w:tblCellMar>
                  <w:top w:w="113" w:type="dxa"/>
                  <w:left w:w="57" w:type="dxa"/>
                  <w:bottom w:w="113" w:type="dxa"/>
                  <w:right w:w="57" w:type="dxa"/>
                </w:tblCellMar>
              </w:tblPrEx>
              <w:trPr>
                <w:trHeight w:val="513" w:hRule="atLeast"/>
                <w:jc w:val="center"/>
              </w:trPr>
              <w:tc>
                <w:tcPr>
                  <w:tcW w:w="11220" w:type="dxa"/>
                  <w:gridSpan w:val="2"/>
                  <w:tcBorders>
                    <w:top w:val="nil"/>
                    <w:left w:val="nil"/>
                    <w:bottom w:val="single" w:color="E60044" w:sz="4" w:space="0"/>
                    <w:right w:val="nil"/>
                  </w:tcBorders>
                  <w:vAlign w:val="center"/>
                </w:tcPr>
                <w:p>
                  <w:pPr>
                    <w:jc w:val="center"/>
                    <w:rPr>
                      <w:color w:val="262626" w:themeColor="text1" w:themeTint="D9"/>
                      <w14:textFill>
                        <w14:solidFill>
                          <w14:schemeClr w14:val="tx1">
                            <w14:lumMod w14:val="85000"/>
                            <w14:lumOff w14:val="15000"/>
                          </w14:schemeClr>
                        </w14:solidFill>
                      </w14:textFill>
                    </w:rPr>
                  </w:pPr>
                  <w:r>
                    <w:rPr>
                      <w:rFonts w:hint="eastAsia" w:ascii="宋体" w:hAnsi="宋体"/>
                      <w:b/>
                      <w:color w:val="E60044"/>
                      <w:sz w:val="28"/>
                      <w:szCs w:val="28"/>
                    </w:rPr>
                    <w:t xml:space="preserve">餐饮说明 </w:t>
                  </w:r>
                </w:p>
              </w:tc>
            </w:tr>
            <w:tr>
              <w:tblPrEx>
                <w:tblLayout w:type="fixed"/>
                <w:tblCellMar>
                  <w:top w:w="113" w:type="dxa"/>
                  <w:left w:w="57" w:type="dxa"/>
                  <w:bottom w:w="113" w:type="dxa"/>
                  <w:right w:w="57" w:type="dxa"/>
                </w:tblCellMar>
              </w:tblPrEx>
              <w:trPr>
                <w:trHeight w:val="248" w:hRule="atLeast"/>
                <w:jc w:val="center"/>
              </w:trPr>
              <w:tc>
                <w:tcPr>
                  <w:tcW w:w="1188"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spacing w:before="31" w:beforeLines="10" w:after="31" w:afterLines="10" w:line="280" w:lineRule="exact"/>
                    <w:jc w:val="cente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蟹鲍海鲜餐1份/人</w:t>
                  </w:r>
                </w:p>
              </w:tc>
              <w:tc>
                <w:tcPr>
                  <w:tcW w:w="10032" w:type="dxa"/>
                  <w:tcBorders>
                    <w:top w:val="single" w:color="E60044" w:sz="4" w:space="0"/>
                    <w:left w:val="single" w:color="FFFFFF" w:sz="4" w:space="0"/>
                    <w:bottom w:val="single" w:color="FFFFFF" w:sz="4" w:space="0"/>
                    <w:right w:val="single" w:color="FFFFFF" w:sz="4" w:space="0"/>
                  </w:tcBorders>
                  <w:shd w:val="clear" w:color="auto" w:fill="E7E6E6" w:themeFill="background2"/>
                  <w:vAlign w:val="center"/>
                </w:tcPr>
                <w:p>
                  <w:pPr>
                    <w:jc w:val="left"/>
                    <w:rPr>
                      <w:sz w:val="18"/>
                      <w:szCs w:val="18"/>
                    </w:rPr>
                  </w:pPr>
                  <w:r>
                    <w:rPr>
                      <w:rFonts w:hint="eastAsia"/>
                      <w:sz w:val="18"/>
                      <w:szCs w:val="18"/>
                    </w:rPr>
                    <w:t>野生南海鲍鱼（</w:t>
                  </w:r>
                  <w:r>
                    <w:rPr>
                      <w:sz w:val="18"/>
                      <w:szCs w:val="18"/>
                    </w:rPr>
                    <w:t>2</w:t>
                  </w:r>
                  <w:r>
                    <w:rPr>
                      <w:rFonts w:hint="eastAsia"/>
                      <w:sz w:val="18"/>
                      <w:szCs w:val="18"/>
                    </w:rPr>
                    <w:t>只）、野生和乐蟹（</w:t>
                  </w:r>
                  <w:r>
                    <w:rPr>
                      <w:sz w:val="18"/>
                      <w:szCs w:val="18"/>
                    </w:rPr>
                    <w:t>1</w:t>
                  </w:r>
                  <w:r>
                    <w:rPr>
                      <w:rFonts w:hint="eastAsia"/>
                      <w:sz w:val="18"/>
                      <w:szCs w:val="18"/>
                    </w:rPr>
                    <w:t>只）、野生大海虾（</w:t>
                  </w:r>
                  <w:r>
                    <w:rPr>
                      <w:sz w:val="18"/>
                      <w:szCs w:val="18"/>
                    </w:rPr>
                    <w:t>2</w:t>
                  </w:r>
                  <w:r>
                    <w:rPr>
                      <w:rFonts w:hint="eastAsia"/>
                      <w:sz w:val="18"/>
                      <w:szCs w:val="18"/>
                    </w:rPr>
                    <w:t>只）、粉丝蒸扇贝（</w:t>
                  </w:r>
                  <w:r>
                    <w:rPr>
                      <w:sz w:val="18"/>
                      <w:szCs w:val="18"/>
                    </w:rPr>
                    <w:t>2</w:t>
                  </w:r>
                  <w:r>
                    <w:rPr>
                      <w:rFonts w:hint="eastAsia"/>
                      <w:sz w:val="18"/>
                      <w:szCs w:val="18"/>
                    </w:rPr>
                    <w:t>个）、粉丝蒸带子（</w:t>
                  </w:r>
                  <w:r>
                    <w:rPr>
                      <w:sz w:val="18"/>
                      <w:szCs w:val="18"/>
                    </w:rPr>
                    <w:t>2</w:t>
                  </w:r>
                  <w:r>
                    <w:rPr>
                      <w:rFonts w:hint="eastAsia"/>
                      <w:sz w:val="18"/>
                      <w:szCs w:val="18"/>
                    </w:rPr>
                    <w:t>只）、白灼沙包螺、白灼鸡腿螺、白灼花螺、红酒</w:t>
                  </w:r>
                  <w:r>
                    <w:rPr>
                      <w:sz w:val="18"/>
                      <w:szCs w:val="18"/>
                    </w:rPr>
                    <w:t>1</w:t>
                  </w:r>
                  <w:r>
                    <w:rPr>
                      <w:rFonts w:hint="eastAsia"/>
                      <w:sz w:val="18"/>
                      <w:szCs w:val="18"/>
                    </w:rPr>
                    <w:t>杯</w:t>
                  </w:r>
                  <w:r>
                    <w:rPr>
                      <w:sz w:val="18"/>
                      <w:szCs w:val="18"/>
                    </w:rPr>
                    <w:t>/</w:t>
                  </w:r>
                  <w:r>
                    <w:rPr>
                      <w:rFonts w:hint="eastAsia"/>
                      <w:sz w:val="18"/>
                      <w:szCs w:val="18"/>
                    </w:rPr>
                    <w:t>人、鸡油饭</w:t>
                  </w:r>
                  <w:r>
                    <w:rPr>
                      <w:sz w:val="18"/>
                      <w:szCs w:val="18"/>
                    </w:rPr>
                    <w:t>1</w:t>
                  </w:r>
                  <w:r>
                    <w:rPr>
                      <w:rFonts w:hint="eastAsia"/>
                      <w:sz w:val="18"/>
                      <w:szCs w:val="18"/>
                    </w:rPr>
                    <w:t>晚</w:t>
                  </w:r>
                  <w:r>
                    <w:rPr>
                      <w:sz w:val="18"/>
                      <w:szCs w:val="18"/>
                    </w:rPr>
                    <w:t>/</w:t>
                  </w:r>
                  <w:r>
                    <w:rPr>
                      <w:rFonts w:hint="eastAsia"/>
                      <w:sz w:val="18"/>
                      <w:szCs w:val="18"/>
                    </w:rPr>
                    <w:t>人、小菜一份、水果一份</w:t>
                  </w:r>
                </w:p>
              </w:tc>
            </w:tr>
          </w:tbl>
          <w:p>
            <w:pPr>
              <w:spacing w:line="280" w:lineRule="exact"/>
              <w:rPr>
                <w:color w:val="262626" w:themeColor="text1" w:themeTint="D9"/>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注：以上菜单为参考菜单，请以当天餐厅实际菜单为准。</w:t>
            </w:r>
          </w:p>
        </w:tc>
      </w:tr>
    </w:tbl>
    <w:p>
      <w:pP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p>
    <w:tbl>
      <w:tblPr>
        <w:tblStyle w:val="6"/>
        <w:tblpPr w:leftFromText="180" w:rightFromText="180" w:vertAnchor="text" w:horzAnchor="page" w:tblpX="415" w:tblpY="93"/>
        <w:tblOverlap w:val="never"/>
        <w:tblW w:w="11225"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
      <w:tblGrid>
        <w:gridCol w:w="1122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rPr>
          <w:trHeight w:val="203" w:hRule="atLeast"/>
        </w:trPr>
        <w:tc>
          <w:tcPr>
            <w:tcW w:w="11225" w:type="dxa"/>
            <w:shd w:val="clear" w:color="auto" w:fill="E60044"/>
            <w:vAlign w:val="center"/>
          </w:tcPr>
          <w:p>
            <w:pPr>
              <w:jc w:val="center"/>
              <w:rPr>
                <w:color w:val="FFFFFF" w:themeColor="background1"/>
                <w14:textFill>
                  <w14:solidFill>
                    <w14:schemeClr w14:val="bg1"/>
                  </w14:solidFill>
                </w14:textFill>
              </w:rPr>
            </w:pPr>
            <w:r>
              <w:rPr>
                <w:rFonts w:hint="eastAsia" w:ascii="宋体" w:hAnsi="宋体"/>
                <w:b/>
                <w:color w:val="FFFFFF" w:themeColor="background1"/>
                <w:sz w:val="28"/>
                <w:szCs w:val="28"/>
                <w14:textFill>
                  <w14:solidFill>
                    <w14:schemeClr w14:val="bg1"/>
                  </w14:solidFill>
                </w14:textFill>
              </w:rPr>
              <w:t>补充说明</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c>
          <w:tcPr>
            <w:tcW w:w="11225" w:type="dxa"/>
            <w:tcBorders>
              <w:tl2br w:val="nil"/>
              <w:tr2bl w:val="nil"/>
            </w:tcBorders>
            <w:shd w:val="clear" w:color="auto" w:fill="auto"/>
          </w:tcPr>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海南酒店标准比内地偏低，请旅游者提前做好心理准备。如遇旺季酒店资源紧张或政府临时征用等特殊情况，我社有权调整为同等级标准酒店。酒店的退房时间为中午的12:00，返程为晚班机的旅游者可把行李寄存在酒店前台后自由活动或自行开钟点房休息。我司默认安排双床，夫妻情侣可根据房态免费申请大床，需要报名时确认申请，不保证安排。且酒店以当天入住为准，不提前指定酒店。行程报价中所含房费按双人标准间/2人核算。如要求三人间或加床，需视入住酒店房型及预订情况而定，通常酒店标准间内加床为钢丝床或床垫等非标准床。</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2、旅行社旅游产品中所包含的飞机票多为团队往返折扣票，依照航空公司规定，不得更改、签转、退票。请成人（16周岁以上）带好有效的证件（身份证），儿童带好户口本；国家民航局规定：旅客乘机随身不得携带净含量超出100毫升的流质性液体（如饮料、牙膏、洗发液等），可将此物品放进行李包里进行托运（请紧好盖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3、特别提示：部分景区由于交通工具的特殊性，故对旅游者的年龄和身体条件有相应的要求。如岛屿类（蜈支洲岛、分界洲岛、西岛等）景区规定60岁以上及行动不便游客（包括孕妇）需填写景区的免责声明方可登船上岛；70周岁以上老年人出于安全考虑，景区不予接待（我社按团队采购成本价格予以退费），敬请知晓。</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4、我们承诺绝不减少餐标，但海南饮食口味清淡，且海南物价水平较高，且各团队餐厅菜式比较雷同，餐未必能达到亲的要求，建议您可自带些咸菜或辣椒酱等佐餐。旅游期间切勿吃生食、生海鲜等，不可光顾路边无牌照摊档，忌暴饮暴食，应多喝开水，多吃蔬菜水果，少抽烟，少喝酒。因私自食用不洁食品和海鲜引起的肠胃疾病，旅行社不承担经济赔偿责任。</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5、行程中旅游用车由海南省旅游汽车中心统一调度，保证一人一正座（26座以下旅游车无行李箱）。且旅游车队属于政府调度中心统一负责，不归旅行社管理，如果遇到司机细节服务不够完美地方，敬请您谅解。抵达海南前24小时内取消合同的游客（如因航班延误无法抵达等），需向我社交已经产生的旅游车位费及合同约定的其它费用约400元/人。</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6、如遇人力不可抗拒因素（台风、暴雨、检修等）或政策性调整（博鳌亚洲论坛会议期间、全国性娱乐停演等）导致无法游览的景点和项目，我社有权取消或根据景区实际运营情况，更换为其它等价景点或项目；赠送景点和项目费用不退，并有权将景点及住宿顺序做相应调整；出游过程中，如产生退费情况，以退费项目旅行社折扣价为依据，均不以挂牌价为准。海南部分景区及酒店为方便旅游者有自设的商场及购物场所，并非我社安排的旅游购物店，此类投诉我社无法受理，敬请谅解。</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7、海南气候炎热，紫外线照射强烈，雨水充沛，请带好必备的防晒用品、太阳镜、太阳帽、雨伞，海南旅游需尽量穿旅游鞋，应避免穿皮鞋、高跟鞋。为防止旅途中水土不服，建议旅游者应自备一些清热、解暑的药或冲剂等常用药品以备不时之需，切勿随意服用他人提供的药品。海南是著名的海滨旅游胜地，请自备拖鞋、泳衣泳裤等。且需注意人身安全，请勿私自下海。</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8、请避免离团活动，如确有需要，请提前以短信或书面方式通报导游，并在约定时间内准时归队。对于存在安全隐患，治安不理想的地区，请游客避免前往。自由活动期间请结伴而行，避免单独行动。非本公司组织安排的游览活动，旅游者自行承担风险。由此发生的损失及纠纷，由旅游者自行承担和解决，旅行社不承担任何责任。夜间或自由活动期间宜结伴同行并告知导游，记好导游手机号备用，注意人身和财物安全。贵重物品可寄存在酒店前台保险柜，下榻的酒店的名称位置也要记牢，不要随便相信陌生人，特别是三轮摩托车、街头发小广告者，天下没有免费的午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9、文明旅游、文明出行，自觉爱护景区的花草树木和文物古迹，不随意在景区、古迹上乱涂乱画、不乱丢垃圾、尊重当地少数民族风俗等。很多景区和酒店周边有小摊小贩，如无意购买请不要与其讲价还价，一旦讲好价格不购买的话容易产生矛盾。出游请保持平常的心态，遇事切勿急躁，大家互相体谅、互相帮助。</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10、请配合导游如实填写当地《游客意见书》，游客的投诉诉求以在海南当地，旅游者自行填写的意见单为主要依据。不填或虚填者归来后的投诉将不予受理，如在行程进行中对旅行社的服务标准有异议，请尽量在海南当地解决（24小时客服热线：0898-66740099）。客服如在旅游期间在当地解决不了，可在当地备案，提醒：旅游投诉时效为返回出发地起30天内有效。</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11、海南娱乐活动丰富，潜水、拖伞、香蕉船等；除了我们行程中包含的景点外，您在景区自由活动休息的时候也可以自行参加另付费娱乐项目（价格请参考上页自费项目表和挂牌价）。并提前告知，由导游根据最佳时间进行合理安排，不给旅游留下遗憾。</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12、我社郑重承诺本线路全程白天晚上均不推其他自费景点及项目，不增加任何购物店，但不适用于游客自行自愿所选择的：</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景区内交通工具及特色演出、特色项目，海上自愿娱乐项目</w:t>
            </w:r>
            <w:r>
              <w:rPr>
                <w:rFonts w:hint="eastAsia" w:asciiTheme="minorEastAsia" w:hAnsiTheme="minorEastAsia" w:cstheme="minorEastAsia"/>
                <w:sz w:val="18"/>
                <w:szCs w:val="21"/>
              </w:rPr>
              <w:t>（</w:t>
            </w:r>
            <w:r>
              <w:rPr>
                <w:rFonts w:hint="eastAsia" w:asciiTheme="minorEastAsia" w:hAnsiTheme="minorEastAsia" w:cstheme="minorEastAsia"/>
                <w:b/>
                <w:sz w:val="18"/>
                <w:szCs w:val="21"/>
              </w:rPr>
              <w:t>千古情演出300元/人、三亚海昌梦幻海洋不夜城摩天轮80元/人、三亚海昌梦幻海洋不夜城飞行影院120元/人</w:t>
            </w:r>
            <w:r>
              <w:rPr>
                <w:rFonts w:hint="eastAsia" w:asciiTheme="minorEastAsia" w:hAnsiTheme="minorEastAsia" w:cstheme="minorEastAsia"/>
                <w:sz w:val="18"/>
                <w:szCs w:val="21"/>
              </w:rPr>
              <w:t>，实际价格请以运营商公布为准）。“赔付承诺”仅适用于：游客在海南旅游过程中进行的现场赔付，若行程已结束，回到出发地再提异议或投诉，我社概不受理；在法律允许范围内，最终解释权归海南地接社所有。</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13、行程中标注的时间可能因堵车、排队等情况有所不同；部分景区团队旅游可能会排队等候，因等候而延误或减少游览时间，游客请谅解并配合。因排队引发投诉旅行社无法受理。该产品报价为综合优惠价格，持军官证、导游证、记者证、教师证、残疾证等证件不能减免门票费用。</w:t>
            </w:r>
          </w:p>
          <w:p>
            <w:pPr>
              <w:spacing w:before="62" w:beforeLines="20" w:after="62" w:afterLines="20"/>
              <w:ind w:left="271" w:hanging="271" w:hangingChars="15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Theme="minorEastAsia" w:hAnsiTheme="minorEastAsia" w:cstheme="minorEastAsia"/>
                <w:b/>
                <w:bCs/>
                <w:sz w:val="18"/>
                <w:szCs w:val="18"/>
              </w:rPr>
              <w:t>14、因本线路较为特色，如当日参团人数不足8人，我社将为您提供以下二种选择方案：（1）免费升级相关同类产品（不低于原线路成本价值）；（2）通过您委托当地旅行社代租自驾游车辆，我社派专职司机兼导游为您提供全程服务，如有异议请慎重选择，敬请谅解。</w:t>
            </w:r>
          </w:p>
        </w:tc>
      </w:tr>
    </w:tbl>
    <w:p>
      <w:pPr>
        <w:rPr>
          <w:color w:val="262626" w:themeColor="text1" w:themeTint="D9"/>
          <w:sz w:val="18"/>
          <w:szCs w:val="18"/>
          <w14:textFill>
            <w14:solidFill>
              <w14:schemeClr w14:val="tx1">
                <w14:lumMod w14:val="85000"/>
                <w14:lumOff w14:val="15000"/>
              </w14:schemeClr>
            </w14:solidFill>
          </w14:textFill>
        </w:rPr>
      </w:pPr>
    </w:p>
    <w:sectPr>
      <w:footerReference r:id="rId3" w:type="default"/>
      <w:pgSz w:w="11906" w:h="16838"/>
      <w:pgMar w:top="340" w:right="340" w:bottom="340" w:left="340" w:header="232" w:footer="35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100E4F"/>
    <w:rsid w:val="000052BA"/>
    <w:rsid w:val="0001212C"/>
    <w:rsid w:val="000136A2"/>
    <w:rsid w:val="00023C3B"/>
    <w:rsid w:val="00042FA4"/>
    <w:rsid w:val="00046B67"/>
    <w:rsid w:val="00053CC6"/>
    <w:rsid w:val="00080280"/>
    <w:rsid w:val="000B57F6"/>
    <w:rsid w:val="000B7687"/>
    <w:rsid w:val="000C2D45"/>
    <w:rsid w:val="000D4D56"/>
    <w:rsid w:val="000E0E0E"/>
    <w:rsid w:val="000E6F00"/>
    <w:rsid w:val="001215B6"/>
    <w:rsid w:val="00161232"/>
    <w:rsid w:val="001649B2"/>
    <w:rsid w:val="001836B3"/>
    <w:rsid w:val="001848FA"/>
    <w:rsid w:val="001A5209"/>
    <w:rsid w:val="001A536C"/>
    <w:rsid w:val="001B3ADC"/>
    <w:rsid w:val="001B7C6C"/>
    <w:rsid w:val="001E70E5"/>
    <w:rsid w:val="0026216F"/>
    <w:rsid w:val="00294FBF"/>
    <w:rsid w:val="002950DF"/>
    <w:rsid w:val="002C3422"/>
    <w:rsid w:val="002D297E"/>
    <w:rsid w:val="002D2FC6"/>
    <w:rsid w:val="002D3B1C"/>
    <w:rsid w:val="002F6D00"/>
    <w:rsid w:val="00310CC0"/>
    <w:rsid w:val="00316331"/>
    <w:rsid w:val="00322CEE"/>
    <w:rsid w:val="00324C8A"/>
    <w:rsid w:val="00341067"/>
    <w:rsid w:val="00367F6D"/>
    <w:rsid w:val="00384FC6"/>
    <w:rsid w:val="003932B5"/>
    <w:rsid w:val="003B01A0"/>
    <w:rsid w:val="003B0E4B"/>
    <w:rsid w:val="003B4C89"/>
    <w:rsid w:val="00435849"/>
    <w:rsid w:val="004404E7"/>
    <w:rsid w:val="00444E97"/>
    <w:rsid w:val="00463557"/>
    <w:rsid w:val="00473CE0"/>
    <w:rsid w:val="00474B5E"/>
    <w:rsid w:val="004B705B"/>
    <w:rsid w:val="004B75C8"/>
    <w:rsid w:val="004E747A"/>
    <w:rsid w:val="004F16F9"/>
    <w:rsid w:val="00511B5A"/>
    <w:rsid w:val="00517CEA"/>
    <w:rsid w:val="00532E3B"/>
    <w:rsid w:val="0053504E"/>
    <w:rsid w:val="00542864"/>
    <w:rsid w:val="0055222D"/>
    <w:rsid w:val="005606F9"/>
    <w:rsid w:val="005805A8"/>
    <w:rsid w:val="005C36E2"/>
    <w:rsid w:val="005C437F"/>
    <w:rsid w:val="005E7F9C"/>
    <w:rsid w:val="00601F60"/>
    <w:rsid w:val="00607267"/>
    <w:rsid w:val="00615F52"/>
    <w:rsid w:val="0061791F"/>
    <w:rsid w:val="0062798A"/>
    <w:rsid w:val="006319BE"/>
    <w:rsid w:val="006501A2"/>
    <w:rsid w:val="00663E26"/>
    <w:rsid w:val="006A20C4"/>
    <w:rsid w:val="006A7574"/>
    <w:rsid w:val="006B6BC0"/>
    <w:rsid w:val="006C325C"/>
    <w:rsid w:val="006C37F9"/>
    <w:rsid w:val="006C388D"/>
    <w:rsid w:val="00722E29"/>
    <w:rsid w:val="00751C18"/>
    <w:rsid w:val="00754435"/>
    <w:rsid w:val="007605D7"/>
    <w:rsid w:val="00780BF5"/>
    <w:rsid w:val="00780F81"/>
    <w:rsid w:val="007A3C8D"/>
    <w:rsid w:val="007A4991"/>
    <w:rsid w:val="007E1AC6"/>
    <w:rsid w:val="007F6BD4"/>
    <w:rsid w:val="007F7960"/>
    <w:rsid w:val="00820CE5"/>
    <w:rsid w:val="00836F71"/>
    <w:rsid w:val="00850BF9"/>
    <w:rsid w:val="00871216"/>
    <w:rsid w:val="00890E94"/>
    <w:rsid w:val="008C2861"/>
    <w:rsid w:val="008C2FE6"/>
    <w:rsid w:val="008F3BD6"/>
    <w:rsid w:val="008F6B8B"/>
    <w:rsid w:val="0090597A"/>
    <w:rsid w:val="00965DDE"/>
    <w:rsid w:val="00971E48"/>
    <w:rsid w:val="00984B67"/>
    <w:rsid w:val="009862F6"/>
    <w:rsid w:val="00995EC9"/>
    <w:rsid w:val="009B433C"/>
    <w:rsid w:val="009C0BCC"/>
    <w:rsid w:val="009E0574"/>
    <w:rsid w:val="00A16405"/>
    <w:rsid w:val="00A2481A"/>
    <w:rsid w:val="00A37FF1"/>
    <w:rsid w:val="00A56508"/>
    <w:rsid w:val="00A769EE"/>
    <w:rsid w:val="00A9319F"/>
    <w:rsid w:val="00A9639B"/>
    <w:rsid w:val="00AA3285"/>
    <w:rsid w:val="00AB411B"/>
    <w:rsid w:val="00AB4229"/>
    <w:rsid w:val="00AE038F"/>
    <w:rsid w:val="00AE4000"/>
    <w:rsid w:val="00AF18A5"/>
    <w:rsid w:val="00B00838"/>
    <w:rsid w:val="00B30C1E"/>
    <w:rsid w:val="00B4309D"/>
    <w:rsid w:val="00B462EC"/>
    <w:rsid w:val="00B55630"/>
    <w:rsid w:val="00BE0C91"/>
    <w:rsid w:val="00BF0D67"/>
    <w:rsid w:val="00BF1AED"/>
    <w:rsid w:val="00BF4567"/>
    <w:rsid w:val="00BF6553"/>
    <w:rsid w:val="00C02203"/>
    <w:rsid w:val="00C0662E"/>
    <w:rsid w:val="00C14494"/>
    <w:rsid w:val="00C24052"/>
    <w:rsid w:val="00C30C88"/>
    <w:rsid w:val="00C4350F"/>
    <w:rsid w:val="00C56860"/>
    <w:rsid w:val="00C76D79"/>
    <w:rsid w:val="00C8453E"/>
    <w:rsid w:val="00C85690"/>
    <w:rsid w:val="00C878BC"/>
    <w:rsid w:val="00CB3350"/>
    <w:rsid w:val="00CB5A6F"/>
    <w:rsid w:val="00CD1C10"/>
    <w:rsid w:val="00CD3561"/>
    <w:rsid w:val="00CE1FE2"/>
    <w:rsid w:val="00CF6000"/>
    <w:rsid w:val="00D01D2B"/>
    <w:rsid w:val="00D06286"/>
    <w:rsid w:val="00D11F44"/>
    <w:rsid w:val="00D22FF6"/>
    <w:rsid w:val="00D4094C"/>
    <w:rsid w:val="00D43E3F"/>
    <w:rsid w:val="00D511FC"/>
    <w:rsid w:val="00D518A6"/>
    <w:rsid w:val="00D664F5"/>
    <w:rsid w:val="00D75707"/>
    <w:rsid w:val="00DE32ED"/>
    <w:rsid w:val="00DE5F68"/>
    <w:rsid w:val="00DF5895"/>
    <w:rsid w:val="00E16440"/>
    <w:rsid w:val="00E24038"/>
    <w:rsid w:val="00E627C6"/>
    <w:rsid w:val="00E91B09"/>
    <w:rsid w:val="00EC0CF6"/>
    <w:rsid w:val="00EC356B"/>
    <w:rsid w:val="00F06DE7"/>
    <w:rsid w:val="00F10CB4"/>
    <w:rsid w:val="00F20973"/>
    <w:rsid w:val="00F43B6B"/>
    <w:rsid w:val="00F45AB8"/>
    <w:rsid w:val="00F56D6E"/>
    <w:rsid w:val="00F61BAF"/>
    <w:rsid w:val="00F71B17"/>
    <w:rsid w:val="00F757EE"/>
    <w:rsid w:val="00F776DD"/>
    <w:rsid w:val="00F847BF"/>
    <w:rsid w:val="00F9523C"/>
    <w:rsid w:val="00FC002F"/>
    <w:rsid w:val="00FC1433"/>
    <w:rsid w:val="00FC3401"/>
    <w:rsid w:val="00FC4253"/>
    <w:rsid w:val="00FC5D25"/>
    <w:rsid w:val="00FF2840"/>
    <w:rsid w:val="01786AC3"/>
    <w:rsid w:val="02E8169C"/>
    <w:rsid w:val="05EA05B9"/>
    <w:rsid w:val="060B3707"/>
    <w:rsid w:val="07EB79D6"/>
    <w:rsid w:val="08A73B07"/>
    <w:rsid w:val="09956601"/>
    <w:rsid w:val="0B952A4F"/>
    <w:rsid w:val="0BA115A6"/>
    <w:rsid w:val="0D6367E4"/>
    <w:rsid w:val="10601B8A"/>
    <w:rsid w:val="14DD2A45"/>
    <w:rsid w:val="150A19EE"/>
    <w:rsid w:val="15B711EC"/>
    <w:rsid w:val="17335D53"/>
    <w:rsid w:val="17784F52"/>
    <w:rsid w:val="17C82FF6"/>
    <w:rsid w:val="19AC2213"/>
    <w:rsid w:val="1C627327"/>
    <w:rsid w:val="1C65181C"/>
    <w:rsid w:val="20AA2152"/>
    <w:rsid w:val="221456E5"/>
    <w:rsid w:val="225D208B"/>
    <w:rsid w:val="2436699F"/>
    <w:rsid w:val="258955DB"/>
    <w:rsid w:val="281818F4"/>
    <w:rsid w:val="29D5459D"/>
    <w:rsid w:val="2A7F2244"/>
    <w:rsid w:val="2B4262A0"/>
    <w:rsid w:val="2BE222CE"/>
    <w:rsid w:val="2C644E5F"/>
    <w:rsid w:val="2D0D48B7"/>
    <w:rsid w:val="2DEB7D19"/>
    <w:rsid w:val="30DB5145"/>
    <w:rsid w:val="31015BBD"/>
    <w:rsid w:val="32E9253F"/>
    <w:rsid w:val="39B73441"/>
    <w:rsid w:val="39E40528"/>
    <w:rsid w:val="3A6401D0"/>
    <w:rsid w:val="40C63115"/>
    <w:rsid w:val="44AC71E3"/>
    <w:rsid w:val="455005EE"/>
    <w:rsid w:val="459D00E8"/>
    <w:rsid w:val="4A054215"/>
    <w:rsid w:val="4D0C0565"/>
    <w:rsid w:val="4D1F6E36"/>
    <w:rsid w:val="4ECC72E7"/>
    <w:rsid w:val="4F2D7844"/>
    <w:rsid w:val="508B2248"/>
    <w:rsid w:val="511D4FF2"/>
    <w:rsid w:val="52D54F5B"/>
    <w:rsid w:val="52ED35BA"/>
    <w:rsid w:val="534F4535"/>
    <w:rsid w:val="54BD6F2C"/>
    <w:rsid w:val="55A47791"/>
    <w:rsid w:val="58451BBE"/>
    <w:rsid w:val="5A1F4B21"/>
    <w:rsid w:val="5BA37DB5"/>
    <w:rsid w:val="5CF4716A"/>
    <w:rsid w:val="5D1B22F7"/>
    <w:rsid w:val="60AB3B68"/>
    <w:rsid w:val="61A902A4"/>
    <w:rsid w:val="61EA58CC"/>
    <w:rsid w:val="64BD2ACA"/>
    <w:rsid w:val="65B77652"/>
    <w:rsid w:val="66B80760"/>
    <w:rsid w:val="6B7F7D43"/>
    <w:rsid w:val="6BB32CBF"/>
    <w:rsid w:val="6D301E87"/>
    <w:rsid w:val="6F6E2C29"/>
    <w:rsid w:val="6FFC6A05"/>
    <w:rsid w:val="701E7300"/>
    <w:rsid w:val="738E2FE7"/>
    <w:rsid w:val="740C1D6B"/>
    <w:rsid w:val="76052EAE"/>
    <w:rsid w:val="76865A7E"/>
    <w:rsid w:val="778B1DFE"/>
    <w:rsid w:val="7C100E4F"/>
    <w:rsid w:val="7CD32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8"/>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widowControl/>
      <w:spacing w:before="100" w:beforeAutospacing="1" w:after="100" w:afterAutospacing="1"/>
      <w:jc w:val="left"/>
    </w:pPr>
    <w:rPr>
      <w:rFonts w:ascii="宋体" w:hAnsi="宋体" w:cs="Times New Roman"/>
      <w:kern w:val="0"/>
      <w:sz w:val="24"/>
      <w:szCs w:val="20"/>
    </w:rPr>
  </w:style>
  <w:style w:type="character" w:customStyle="1" w:styleId="8">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4364</Words>
  <Characters>286</Characters>
  <Lines>2</Lines>
  <Paragraphs>9</Paragraphs>
  <TotalTime>8</TotalTime>
  <ScaleCrop>false</ScaleCrop>
  <LinksUpToDate>false</LinksUpToDate>
  <CharactersWithSpaces>4641</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2018-01-23T09:18:00Z</dcterms:created>
  <dc:creator>Administrator</dc:creator>
  <cp:lastModifiedBy>Administrator</cp:lastModifiedBy>
  <dcterms:modified xsi:type="dcterms:W3CDTF">2019-08-14T08:51:30Z</dcterms:modified>
  <cp:revision>165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