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708416" behindDoc="1" locked="0" layoutInCell="1" allowOverlap="1">
            <wp:simplePos x="0" y="0"/>
            <wp:positionH relativeFrom="column">
              <wp:posOffset>-219075</wp:posOffset>
            </wp:positionH>
            <wp:positionV relativeFrom="paragraph">
              <wp:posOffset>-224155</wp:posOffset>
            </wp:positionV>
            <wp:extent cx="7571105" cy="10710545"/>
            <wp:effectExtent l="0" t="0" r="10795" b="14605"/>
            <wp:wrapNone/>
            <wp:docPr id="3" name="图片 3"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7"/>
                    <pic:cNvPicPr>
                      <a:picLocks noChangeAspect="1"/>
                    </pic:cNvPicPr>
                  </pic:nvPicPr>
                  <pic:blipFill>
                    <a:blip r:embed="rId6"/>
                    <a:stretch>
                      <a:fillRect/>
                    </a:stretch>
                  </pic:blipFill>
                  <pic:spPr>
                    <a:xfrm>
                      <a:off x="0" y="0"/>
                      <a:ext cx="7571105" cy="10710545"/>
                    </a:xfrm>
                    <a:prstGeom prst="rect">
                      <a:avLst/>
                    </a:prstGeom>
                  </pic:spPr>
                </pic:pic>
              </a:graphicData>
            </a:graphic>
          </wp:anchor>
        </w:drawing>
      </w:r>
      <w:r>
        <w:br w:type="page"/>
      </w:r>
    </w:p>
    <w:p>
      <w:r>
        <w:drawing>
          <wp:anchor distT="0" distB="0" distL="114300" distR="114300" simplePos="0" relativeHeight="251659264" behindDoc="0" locked="0" layoutInCell="1" allowOverlap="1">
            <wp:simplePos x="0" y="0"/>
            <wp:positionH relativeFrom="column">
              <wp:posOffset>-215900</wp:posOffset>
            </wp:positionH>
            <wp:positionV relativeFrom="paragraph">
              <wp:posOffset>-215900</wp:posOffset>
            </wp:positionV>
            <wp:extent cx="7555230" cy="10686415"/>
            <wp:effectExtent l="0" t="0" r="7620" b="6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5230" cy="10686415"/>
                    </a:xfrm>
                    <a:prstGeom prst="rect">
                      <a:avLst/>
                    </a:prstGeom>
                  </pic:spPr>
                </pic:pic>
              </a:graphicData>
            </a:graphic>
          </wp:anchor>
        </w:drawing>
      </w:r>
      <w:r>
        <w:br w:type="page"/>
      </w:r>
    </w:p>
    <w:p>
      <w:r>
        <w:drawing>
          <wp:anchor distT="0" distB="0" distL="114300" distR="114300" simplePos="0" relativeHeight="251706368" behindDoc="1" locked="0" layoutInCell="1" allowOverlap="1">
            <wp:simplePos x="0" y="0"/>
            <wp:positionH relativeFrom="column">
              <wp:posOffset>-215900</wp:posOffset>
            </wp:positionH>
            <wp:positionV relativeFrom="paragraph">
              <wp:posOffset>-215900</wp:posOffset>
            </wp:positionV>
            <wp:extent cx="7557135" cy="10690225"/>
            <wp:effectExtent l="0" t="0" r="5715" b="0"/>
            <wp:wrapTight wrapText="bothSides">
              <wp:wrapPolygon>
                <wp:start x="0" y="0"/>
                <wp:lineTo x="0" y="21555"/>
                <wp:lineTo x="21562" y="21555"/>
                <wp:lineTo x="21562"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135" cy="10690225"/>
                    </a:xfrm>
                    <a:prstGeom prst="rect">
                      <a:avLst/>
                    </a:prstGeom>
                  </pic:spPr>
                </pic:pic>
              </a:graphicData>
            </a:graphic>
          </wp:anchor>
        </w:drawing>
      </w:r>
      <w:r>
        <w:br w:type="page"/>
      </w:r>
    </w:p>
    <w:p>
      <w:r>
        <w:drawing>
          <wp:anchor distT="0" distB="0" distL="114300" distR="114300" simplePos="0" relativeHeight="251707392" behindDoc="0" locked="0" layoutInCell="1" allowOverlap="1">
            <wp:simplePos x="0" y="0"/>
            <wp:positionH relativeFrom="column">
              <wp:posOffset>-215900</wp:posOffset>
            </wp:positionH>
            <wp:positionV relativeFrom="paragraph">
              <wp:posOffset>-215900</wp:posOffset>
            </wp:positionV>
            <wp:extent cx="7561580" cy="10695940"/>
            <wp:effectExtent l="0" t="0" r="127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1580" cy="1069594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864"/>
        <w:gridCol w:w="6480"/>
        <w:gridCol w:w="7"/>
        <w:gridCol w:w="300"/>
        <w:gridCol w:w="2574"/>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咱爸咱妈·海南游</w:t>
            </w:r>
          </w:p>
        </w:tc>
      </w:tr>
      <w:tr>
        <w:tblPrEx>
          <w:tblLayout w:type="fixed"/>
          <w:tblCellMar>
            <w:top w:w="57" w:type="dxa"/>
            <w:left w:w="57" w:type="dxa"/>
            <w:bottom w:w="57" w:type="dxa"/>
            <w:right w:w="57" w:type="dxa"/>
          </w:tblCellMar>
        </w:tblPrEx>
        <w:trPr>
          <w:trHeight w:val="446" w:hRule="atLeast"/>
          <w:jc w:val="center"/>
        </w:trPr>
        <w:tc>
          <w:tcPr>
            <w:tcW w:w="8351" w:type="dxa"/>
            <w:gridSpan w:val="3"/>
            <w:tcBorders>
              <w:top w:val="single" w:color="FFFFFF" w:sz="4" w:space="0"/>
              <w:left w:val="single" w:color="FFFFFF" w:sz="4" w:space="0"/>
              <w:bottom w:val="nil"/>
              <w:right w:val="single" w:color="FFFFFF" w:sz="4" w:space="0"/>
              <w:tl2br w:val="nil"/>
              <w:tr2bl w:val="nil"/>
            </w:tcBorders>
            <w:shd w:val="clear" w:color="auto" w:fill="auto"/>
            <w:vAlign w:val="center"/>
          </w:tcPr>
          <w:p>
            <w:pPr>
              <w:jc w:val="left"/>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行程安排</w:t>
            </w:r>
          </w:p>
        </w:tc>
        <w:tc>
          <w:tcPr>
            <w:tcW w:w="300" w:type="dxa"/>
            <w:tcBorders>
              <w:top w:val="single" w:color="FFFFFF" w:sz="4" w:space="0"/>
              <w:left w:val="single" w:color="FFFFFF" w:sz="4" w:space="0"/>
              <w:bottom w:val="single" w:color="FFFFFF" w:sz="4" w:space="0"/>
              <w:right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4" w:type="dxa"/>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rFonts w:ascii="宋体" w:hAnsi="宋体"/>
                <w:b/>
                <w:color w:val="C00000"/>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4" w:type="dxa"/>
            <w:tcBorders>
              <w:top w:val="single" w:color="E60044" w:sz="4" w:space="0"/>
              <w:right w:val="single" w:color="E60044"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80" w:type="dxa"/>
            <w:tcBorders>
              <w:top w:val="single" w:color="E60044" w:sz="4" w:space="0"/>
              <w:left w:val="single" w:color="E60044"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nil"/>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4"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Arial" w:hAnsi="Arial" w:cs="Arial"/>
                <w:b/>
                <w:bCs/>
                <w:color w:val="E60044"/>
                <w:szCs w:val="21"/>
              </w:rPr>
            </w:pPr>
          </w:p>
          <w:p>
            <w:pPr>
              <w:spacing w:line="280" w:lineRule="exact"/>
              <w:rPr>
                <w:rFonts w:ascii="Arial" w:hAnsi="Arial" w:cs="Arial"/>
                <w:b/>
                <w:bCs/>
                <w:color w:val="E60044"/>
                <w:szCs w:val="21"/>
              </w:rPr>
            </w:pPr>
            <w:r>
              <w:rPr>
                <w:rFonts w:hint="eastAsia" w:ascii="Arial" w:hAnsi="Arial" w:cs="Arial"/>
                <w:b/>
                <w:bCs/>
                <w:color w:val="E60044"/>
                <w:szCs w:val="21"/>
              </w:rPr>
              <w:t>住的安心：</w:t>
            </w:r>
          </w:p>
          <w:p>
            <w:pPr>
              <w:spacing w:after="156" w:afterLines="50" w:line="280" w:lineRule="exact"/>
              <w:rPr>
                <w:rFonts w:ascii="Arial" w:hAnsi="Arial" w:cs="Arial"/>
                <w:sz w:val="18"/>
                <w:szCs w:val="18"/>
              </w:rPr>
            </w:pPr>
            <w:r>
              <w:rPr>
                <w:rFonts w:hint="eastAsia" w:ascii="Arial" w:hAnsi="Arial" w:cs="Arial"/>
                <w:sz w:val="18"/>
                <w:szCs w:val="18"/>
              </w:rPr>
              <w:t>升级1晚5A南山景区酒店、搭配品质酒店</w:t>
            </w:r>
          </w:p>
          <w:p>
            <w:pPr>
              <w:spacing w:line="280" w:lineRule="exact"/>
              <w:rPr>
                <w:rFonts w:ascii="Arial" w:hAnsi="Arial" w:cs="Arial"/>
                <w:b/>
                <w:bCs/>
                <w:color w:val="E60044"/>
                <w:szCs w:val="21"/>
              </w:rPr>
            </w:pPr>
            <w:r>
              <w:rPr>
                <w:rFonts w:hint="eastAsia" w:ascii="Arial" w:hAnsi="Arial" w:cs="Arial"/>
                <w:b/>
                <w:bCs/>
                <w:color w:val="E60044"/>
                <w:szCs w:val="21"/>
              </w:rPr>
              <w:t>玩的开心：</w:t>
            </w:r>
          </w:p>
          <w:p>
            <w:pPr>
              <w:spacing w:after="156" w:afterLines="50" w:line="280" w:lineRule="exact"/>
              <w:rPr>
                <w:rFonts w:ascii="Arial" w:hAnsi="Arial" w:cs="Arial"/>
                <w:sz w:val="18"/>
                <w:szCs w:val="18"/>
              </w:rPr>
            </w:pPr>
            <w:r>
              <w:rPr>
                <w:rFonts w:hint="eastAsia" w:ascii="Arial" w:hAnsi="Arial" w:cs="Arial"/>
                <w:sz w:val="18"/>
                <w:szCs w:val="18"/>
              </w:rPr>
              <w:t>南山5A（海上观音+抱佛脚）、呀诺达5A（入园专属通道+电瓶花车+萌宠科普乐园）、槟榔谷5A、天涯海角4A、亚龙湾沙滩，赠椰子</w:t>
            </w:r>
            <w:r>
              <w:rPr>
                <w:rFonts w:ascii="Arial" w:hAnsi="Arial" w:cs="Arial"/>
                <w:sz w:val="18"/>
                <w:szCs w:val="18"/>
              </w:rPr>
              <w:t>1</w:t>
            </w:r>
            <w:r>
              <w:rPr>
                <w:rFonts w:hint="eastAsia" w:ascii="Arial" w:hAnsi="Arial" w:cs="Arial"/>
                <w:sz w:val="18"/>
                <w:szCs w:val="18"/>
              </w:rPr>
              <w:t>个</w:t>
            </w:r>
            <w:r>
              <w:rPr>
                <w:rFonts w:ascii="Arial" w:hAnsi="Arial" w:cs="Arial"/>
                <w:sz w:val="18"/>
                <w:szCs w:val="18"/>
              </w:rPr>
              <w:t>/</w:t>
            </w:r>
            <w:r>
              <w:rPr>
                <w:rFonts w:hint="eastAsia" w:ascii="Arial" w:hAnsi="Arial" w:cs="Arial"/>
                <w:sz w:val="18"/>
                <w:szCs w:val="18"/>
              </w:rPr>
              <w:t>人。</w:t>
            </w:r>
          </w:p>
          <w:p>
            <w:pPr>
              <w:spacing w:line="280" w:lineRule="exact"/>
              <w:rPr>
                <w:rFonts w:ascii="Arial" w:hAnsi="Arial" w:cs="Arial"/>
                <w:b/>
                <w:bCs/>
                <w:color w:val="E60044"/>
                <w:szCs w:val="21"/>
              </w:rPr>
            </w:pPr>
            <w:r>
              <w:rPr>
                <w:rFonts w:hint="eastAsia" w:ascii="Arial" w:hAnsi="Arial" w:cs="Arial"/>
                <w:b/>
                <w:bCs/>
                <w:color w:val="E60044"/>
                <w:szCs w:val="21"/>
              </w:rPr>
              <w:t>吃的称心：</w:t>
            </w:r>
          </w:p>
          <w:p>
            <w:pPr>
              <w:spacing w:line="280" w:lineRule="exact"/>
              <w:rPr>
                <w:rFonts w:ascii="Arial" w:hAnsi="Arial" w:cs="Arial"/>
                <w:sz w:val="18"/>
                <w:szCs w:val="18"/>
              </w:rPr>
            </w:pPr>
            <w:r>
              <w:rPr>
                <w:rFonts w:hint="eastAsia" w:ascii="Arial" w:hAnsi="Arial" w:cs="Arial"/>
                <w:sz w:val="18"/>
                <w:szCs w:val="18"/>
              </w:rPr>
              <w:t>定制专属养生菜单，正餐餐标：25元</w:t>
            </w:r>
            <w:r>
              <w:rPr>
                <w:rFonts w:ascii="Arial" w:hAnsi="Arial" w:cs="Arial"/>
                <w:sz w:val="18"/>
                <w:szCs w:val="18"/>
              </w:rPr>
              <w:t>/</w:t>
            </w:r>
            <w:r>
              <w:rPr>
                <w:rFonts w:hint="eastAsia" w:ascii="Arial" w:hAnsi="Arial" w:cs="Arial"/>
                <w:sz w:val="18"/>
                <w:szCs w:val="18"/>
              </w:rPr>
              <w:t>人</w:t>
            </w:r>
            <w:r>
              <w:rPr>
                <w:rFonts w:ascii="Arial" w:hAnsi="Arial" w:cs="Arial"/>
                <w:sz w:val="18"/>
                <w:szCs w:val="18"/>
              </w:rPr>
              <w:t>/</w:t>
            </w:r>
            <w:r>
              <w:rPr>
                <w:rFonts w:hint="eastAsia" w:ascii="Arial" w:hAnsi="Arial" w:cs="Arial"/>
                <w:sz w:val="18"/>
                <w:szCs w:val="18"/>
              </w:rPr>
              <w:t>餐，升级品鉴“专属定制雨林特色养生餐”与“南山素斋”各</w:t>
            </w:r>
            <w:r>
              <w:rPr>
                <w:rFonts w:ascii="Arial" w:hAnsi="Arial" w:cs="Arial"/>
                <w:sz w:val="18"/>
                <w:szCs w:val="18"/>
              </w:rPr>
              <w:t>1</w:t>
            </w:r>
            <w:r>
              <w:rPr>
                <w:rFonts w:hint="eastAsia" w:ascii="Arial" w:hAnsi="Arial" w:cs="Arial"/>
                <w:sz w:val="18"/>
                <w:szCs w:val="18"/>
              </w:rPr>
              <w:t>次。</w:t>
            </w:r>
          </w:p>
          <w:p>
            <w:pPr>
              <w:spacing w:line="280" w:lineRule="exact"/>
              <w:rPr>
                <w:rFonts w:ascii="Arial" w:hAnsi="Arial" w:cs="Arial"/>
                <w:sz w:val="18"/>
                <w:szCs w:val="18"/>
              </w:rPr>
            </w:pPr>
          </w:p>
          <w:p>
            <w:pPr>
              <w:spacing w:line="280" w:lineRule="exact"/>
              <w:rPr>
                <w:rFonts w:ascii="宋体" w:hAnsi="宋体"/>
                <w:b/>
                <w:bCs/>
                <w:iCs/>
                <w:color w:val="E60044"/>
                <w:szCs w:val="21"/>
              </w:rPr>
            </w:pPr>
            <w:r>
              <w:rPr>
                <w:rFonts w:hint="eastAsia" w:ascii="宋体" w:hAnsi="宋体"/>
                <w:b/>
                <w:bCs/>
                <w:iCs/>
                <w:color w:val="E60044"/>
                <w:szCs w:val="21"/>
              </w:rPr>
              <w:t>接待承诺：</w:t>
            </w:r>
          </w:p>
          <w:p>
            <w:pPr>
              <w:spacing w:after="156" w:afterLines="50" w:line="280" w:lineRule="exact"/>
              <w:rPr>
                <w:rFonts w:ascii="宋体" w:hAnsi="宋体"/>
                <w:color w:val="C00000"/>
                <w:sz w:val="18"/>
                <w:szCs w:val="18"/>
              </w:rPr>
            </w:pPr>
            <w:r>
              <w:rPr>
                <w:rFonts w:hint="eastAsia" w:asciiTheme="minorEastAsia" w:hAnsiTheme="minorEastAsia" w:cstheme="minorEastAsia"/>
                <w:sz w:val="18"/>
                <w:szCs w:val="21"/>
              </w:rPr>
              <w:t>一价全包·无消费陷阱，给爸妈的放心之旅，所见即所得。</w:t>
            </w:r>
          </w:p>
        </w:tc>
      </w:tr>
      <w:tr>
        <w:tblPrEx>
          <w:tblLayout w:type="fixed"/>
          <w:tblCellMar>
            <w:top w:w="57" w:type="dxa"/>
            <w:left w:w="57" w:type="dxa"/>
            <w:bottom w:w="57" w:type="dxa"/>
            <w:right w:w="57" w:type="dxa"/>
          </w:tblCellMar>
        </w:tblPrEx>
        <w:trPr>
          <w:trHeight w:val="90" w:hRule="atLeast"/>
          <w:jc w:val="center"/>
        </w:trPr>
        <w:tc>
          <w:tcPr>
            <w:tcW w:w="1864" w:type="dxa"/>
            <w:tcBorders>
              <w:left w:val="single" w:color="FFFFFF" w:sz="4" w:space="0"/>
              <w:bottom w:val="single" w:color="F1D2C2" w:sz="6"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80" w:type="dxa"/>
            <w:tcBorders>
              <w:left w:val="single" w:color="FFFFFF" w:sz="4" w:space="0"/>
              <w:bottom w:val="single" w:color="FFFFFF" w:sz="4" w:space="0"/>
              <w:right w:val="single" w:color="FFFFFF" w:sz="4" w:space="0"/>
            </w:tcBorders>
            <w:shd w:val="clear" w:color="auto" w:fill="auto"/>
            <w:vAlign w:val="center"/>
          </w:tcPr>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single" w:color="FFFFFF" w:sz="4" w:space="0"/>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810" w:hRule="atLeast"/>
          <w:jc w:val="center"/>
        </w:trPr>
        <w:tc>
          <w:tcPr>
            <w:tcW w:w="1864" w:type="dxa"/>
            <w:tcBorders>
              <w:top w:val="single" w:color="F1D2C2" w:sz="6" w:space="0"/>
              <w:left w:val="single" w:color="FFFFFF" w:sz="4" w:space="0"/>
              <w:bottom w:val="single" w:color="F1D2C2" w:sz="6"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三亚</w:t>
            </w:r>
          </w:p>
        </w:tc>
        <w:tc>
          <w:tcPr>
            <w:tcW w:w="6480" w:type="dxa"/>
            <w:tcBorders>
              <w:top w:val="single" w:color="F1D2C2" w:sz="6" w:space="0"/>
              <w:left w:val="single" w:color="FFFFFF" w:sz="4" w:space="0"/>
              <w:bottom w:val="single" w:color="FFFFFF" w:sz="4" w:space="0"/>
              <w:right w:val="single" w:color="FFFFFF" w:sz="4" w:space="0"/>
            </w:tcBorders>
            <w:shd w:val="clear" w:color="auto" w:fill="auto"/>
            <w:vAlign w:val="center"/>
          </w:tcPr>
          <w:p>
            <w:pPr>
              <w:spacing w:before="31" w:beforeLines="10" w:after="31" w:afterLines="10" w:line="280" w:lineRule="exact"/>
              <w:rPr>
                <w:b/>
                <w:bCs/>
                <w:color w:val="E60044"/>
                <w:sz w:val="18"/>
                <w:szCs w:val="18"/>
              </w:rPr>
            </w:pPr>
            <w:r>
              <w:rPr>
                <w:rFonts w:hint="eastAsia"/>
                <w:color w:val="E60044"/>
                <w:sz w:val="18"/>
                <w:szCs w:val="18"/>
              </w:rPr>
              <w:t>景点安排：</w:t>
            </w:r>
            <w:r>
              <w:rPr>
                <w:rFonts w:hint="eastAsia"/>
                <w:b/>
                <w:color w:val="E60044"/>
                <w:sz w:val="18"/>
                <w:szCs w:val="18"/>
              </w:rPr>
              <w:t>北仍村</w:t>
            </w:r>
            <w:r>
              <w:rPr>
                <w:rFonts w:hint="eastAsia"/>
                <w:b/>
                <w:bCs/>
                <w:color w:val="E60044"/>
                <w:sz w:val="18"/>
                <w:szCs w:val="18"/>
              </w:rPr>
              <w:t>—天涯海角</w:t>
            </w:r>
          </w:p>
          <w:p>
            <w:pPr>
              <w:spacing w:before="31" w:beforeLines="10" w:after="31" w:afterLines="10" w:line="280" w:lineRule="exact"/>
              <w:rPr>
                <w:b/>
                <w:bCs/>
                <w:color w:val="E60044"/>
                <w:sz w:val="18"/>
                <w:szCs w:val="18"/>
              </w:rPr>
            </w:pPr>
            <w:r>
              <w:rPr>
                <w:rFonts w:hint="eastAsia"/>
                <w:b/>
                <w:bCs/>
                <w:sz w:val="18"/>
                <w:szCs w:val="18"/>
              </w:rPr>
              <w:t>【北仍村】：</w:t>
            </w:r>
            <w:r>
              <w:rPr>
                <w:rFonts w:hint="eastAsia"/>
                <w:sz w:val="18"/>
                <w:szCs w:val="18"/>
              </w:rPr>
              <w:t>（游览时间不少于60分钟）寻找2015年博鳌亚洲论坛会议期间，国家主席习近平夫人彭丽媛会见各国领导夫人的地方，在此停留，感受南国小镇的风光、</w:t>
            </w:r>
            <w:r>
              <w:rPr>
                <w:rFonts w:hint="eastAsia"/>
                <w:b/>
                <w:sz w:val="18"/>
                <w:szCs w:val="18"/>
              </w:rPr>
              <w:t>(赠送椰子1个/人)。</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6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晚餐：含</w:t>
            </w:r>
          </w:p>
        </w:tc>
        <w:tc>
          <w:tcPr>
            <w:tcW w:w="307" w:type="dxa"/>
            <w:gridSpan w:val="2"/>
            <w:vMerge w:val="continue"/>
            <w:tcBorders>
              <w:top w:val="single" w:color="FFFFFF" w:sz="4" w:space="0"/>
              <w:left w:val="single" w:color="FFFFFF" w:sz="4" w:space="0"/>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4" w:type="dxa"/>
            <w:tcBorders>
              <w:top w:val="single" w:color="F1D2C2" w:sz="6" w:space="0"/>
              <w:left w:val="single" w:color="FFFFFF" w:sz="4" w:space="0"/>
              <w:bottom w:val="single" w:color="F1D2C2" w:sz="6"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80" w:type="dxa"/>
            <w:tcBorders>
              <w:top w:val="single" w:color="F1D2C2" w:sz="6" w:space="0"/>
              <w:left w:val="single" w:color="FFFFFF" w:sz="4" w:space="0"/>
              <w:bottom w:val="single" w:color="FFFFFF" w:sz="4" w:space="0"/>
              <w:right w:val="single" w:color="FFFFFF" w:sz="4" w:space="0"/>
            </w:tcBorders>
            <w:shd w:val="clear" w:color="auto" w:fill="auto"/>
            <w:vAlign w:val="center"/>
          </w:tcPr>
          <w:p>
            <w:pPr>
              <w:spacing w:line="280" w:lineRule="exact"/>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bCs/>
                <w:color w:val="E60044"/>
                <w:sz w:val="18"/>
                <w:szCs w:val="18"/>
              </w:rPr>
              <w:t>呀诺达（入园专属通道+电瓶花车+萌宠科普乐园）—槟榔谷</w:t>
            </w:r>
          </w:p>
          <w:p>
            <w:pPr>
              <w:pStyle w:val="5"/>
              <w:spacing w:before="0" w:beforeAutospacing="0" w:after="0" w:afterAutospacing="0"/>
              <w:jc w:val="both"/>
              <w:rPr>
                <w:color w:val="262626" w:themeColor="text1" w:themeTint="D9"/>
                <w:sz w:val="18"/>
                <w:szCs w:val="18"/>
                <w:lang w:val="zh-TW"/>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【呀诺达】：</w:t>
            </w:r>
            <w:r>
              <w:rPr>
                <w:rFonts w:hint="eastAsia"/>
                <w:color w:val="262626" w:themeColor="text1" w:themeTint="D9"/>
                <w:sz w:val="18"/>
                <w:szCs w:val="18"/>
                <w14:textFill>
                  <w14:solidFill>
                    <w14:schemeClr w14:val="tx1">
                      <w14:lumMod w14:val="85000"/>
                      <w14:lumOff w14:val="15000"/>
                    </w14:schemeClr>
                  </w14:solidFill>
                </w14:textFill>
              </w:rPr>
              <w:t>（游览时间不少于90分钟、含入园专属通道、电瓶花车）</w:t>
            </w:r>
            <w:r>
              <w:rPr>
                <w:rFonts w:hint="eastAsia"/>
                <w:color w:val="262626" w:themeColor="text1" w:themeTint="D9"/>
                <w:sz w:val="18"/>
                <w:szCs w:val="18"/>
                <w:lang w:val="zh-TW"/>
                <w14:textFill>
                  <w14:solidFill>
                    <w14:schemeClr w14:val="tx1">
                      <w14:lumMod w14:val="85000"/>
                      <w14:lumOff w14:val="15000"/>
                    </w14:schemeClr>
                  </w14:solidFill>
                </w14:textFill>
              </w:rPr>
              <w:t>地处北纬18度，是名符其实的热带雨林，是海南岛五大热带雨林精品的浓缩堪称中国钻石级雨林景区。热带雨林谷遮天蔽日，流泉叠瀑倾泻而下，年平均温度24度，踱步雨林中，你能感受阵阵清新凉意。在这里，你能卸下最繁杂的纷扰，穿越雨林栈道，呼吸最清新的空气，畅享休闲的快乐时光。</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color w:val="262626" w:themeColor="text1" w:themeTint="D9"/>
                <w:sz w:val="18"/>
                <w:szCs w:val="18"/>
                <w:lang w:val="zh-TW"/>
                <w14:textFill>
                  <w14:solidFill>
                    <w14:schemeClr w14:val="tx1">
                      <w14:lumMod w14:val="85000"/>
                      <w14:lumOff w14:val="15000"/>
                    </w14:schemeClr>
                  </w14:solidFill>
                </w14:textFill>
              </w:rPr>
              <w:t>赠呀诺达·萌宠科普乐园：</w:t>
            </w:r>
            <w:r>
              <w:rPr>
                <w:rFonts w:hint="eastAsia"/>
                <w:color w:val="262626" w:themeColor="text1" w:themeTint="D9"/>
                <w:sz w:val="18"/>
                <w:szCs w:val="18"/>
                <w:lang w:val="zh-TW"/>
                <w14:textFill>
                  <w14:solidFill>
                    <w14:schemeClr w14:val="tx1">
                      <w14:lumMod w14:val="85000"/>
                      <w14:lumOff w14:val="15000"/>
                    </w14:schemeClr>
                  </w14:solidFill>
                </w14:textFill>
              </w:rPr>
              <w:t>园区坐落于5A景区呀诺达内，分为鹦鹉乐园、松鼠乐园、萌宠乐园三个馆，鹦鹉、孔雀、松鼠、欧洲盘羊、细尾獴、羊驼、袋鼠等动物为您带来一次奇趣的旅行体验。</w:t>
            </w:r>
          </w:p>
          <w:p>
            <w:pPr>
              <w:spacing w:line="264" w:lineRule="exact"/>
              <w:rPr>
                <w:rFonts w:asciiTheme="minorEastAsia" w:hAnsiTheme="minorEastAsia"/>
                <w:bCs/>
                <w:sz w:val="18"/>
                <w:szCs w:val="18"/>
              </w:rPr>
            </w:pPr>
            <w:r>
              <w:rPr>
                <w:rFonts w:hint="eastAsia" w:asciiTheme="minorEastAsia" w:hAnsiTheme="minorEastAsia"/>
                <w:b/>
                <w:bCs/>
                <w:sz w:val="18"/>
                <w:szCs w:val="18"/>
              </w:rPr>
              <w:t>【槟榔谷黎苗文化旅游景区】：</w:t>
            </w:r>
            <w:r>
              <w:rPr>
                <w:rFonts w:hint="eastAsia" w:asciiTheme="minorEastAsia" w:hAnsiTheme="minorEastAsia"/>
                <w:bCs/>
                <w:sz w:val="18"/>
                <w:szCs w:val="18"/>
              </w:rPr>
              <w:t>（游览时间不少于120分钟）中国首家民族文化型5A级景区，海南民族文化的“活化石”，婀娜多姿的槟榔林海，置身于古木参天、藤蔓交织的热带雨林中。</w:t>
            </w:r>
          </w:p>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晚餐：含</w:t>
            </w:r>
          </w:p>
        </w:tc>
        <w:tc>
          <w:tcPr>
            <w:tcW w:w="307" w:type="dxa"/>
            <w:gridSpan w:val="2"/>
            <w:vMerge w:val="continue"/>
            <w:tcBorders>
              <w:top w:val="single" w:color="FFFFFF" w:sz="4" w:space="0"/>
              <w:left w:val="single" w:color="FFFFFF" w:sz="4" w:space="0"/>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4" w:type="dxa"/>
            <w:tcBorders>
              <w:top w:val="single" w:color="F1D2C2" w:sz="6" w:space="0"/>
              <w:left w:val="single" w:color="FFFFFF" w:sz="4" w:space="0"/>
              <w:bottom w:val="single" w:color="F1D2C2" w:sz="6"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80" w:type="dxa"/>
            <w:tcBorders>
              <w:top w:val="single" w:color="F1D2C2" w:sz="6" w:space="0"/>
              <w:left w:val="single" w:color="FFFFFF" w:sz="4" w:space="0"/>
              <w:bottom w:val="single" w:color="FFFFFF" w:sz="4" w:space="0"/>
              <w:right w:val="single" w:color="FFFFFF" w:sz="4" w:space="0"/>
            </w:tcBorders>
            <w:shd w:val="clear" w:color="auto" w:fill="auto"/>
            <w:vAlign w:val="center"/>
          </w:tcPr>
          <w:p>
            <w:pPr>
              <w:rPr>
                <w:color w:val="C00000"/>
                <w:sz w:val="18"/>
                <w:szCs w:val="18"/>
              </w:rPr>
            </w:pPr>
            <w:r>
              <w:rPr>
                <w:rFonts w:hint="eastAsia"/>
                <w:color w:val="E60044"/>
                <w:sz w:val="18"/>
                <w:szCs w:val="18"/>
              </w:rPr>
              <w:t>景点安排：</w:t>
            </w:r>
            <w:r>
              <w:rPr>
                <w:rFonts w:hint="eastAsia"/>
                <w:b/>
                <w:color w:val="E60044"/>
                <w:sz w:val="18"/>
                <w:szCs w:val="18"/>
              </w:rPr>
              <w:t>南山（海上观音·抱佛脚）</w:t>
            </w:r>
            <w:r>
              <w:rPr>
                <w:rFonts w:hint="eastAsia"/>
                <w:b/>
                <w:bCs/>
                <w:color w:val="E60044"/>
                <w:sz w:val="18"/>
                <w:szCs w:val="18"/>
              </w:rPr>
              <w:t>—美丽商城—亚龙湾沙滩—橡胶科技馆</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before="62" w:beforeLines="20" w:after="62" w:afterLines="20" w:line="250" w:lineRule="exact"/>
              <w:rPr>
                <w:b/>
                <w:bCs/>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抱佛脚：</w:t>
            </w:r>
            <w:r>
              <w:rPr>
                <w:rFonts w:hint="eastAsia"/>
                <w:color w:val="262626" w:themeColor="text1" w:themeTint="D9"/>
                <w:sz w:val="18"/>
                <w:szCs w:val="18"/>
                <w14:textFill>
                  <w14:solidFill>
                    <w14:schemeClr w14:val="tx1">
                      <w14:lumMod w14:val="85000"/>
                      <w14:lumOff w14:val="15000"/>
                    </w14:schemeClr>
                  </w14:solidFill>
                </w14:textFill>
              </w:rPr>
              <w:t>登</w:t>
            </w:r>
            <w:r>
              <w:rPr>
                <w:color w:val="262626" w:themeColor="text1" w:themeTint="D9"/>
                <w:sz w:val="18"/>
                <w:szCs w:val="18"/>
                <w14:textFill>
                  <w14:solidFill>
                    <w14:schemeClr w14:val="tx1">
                      <w14:lumMod w14:val="85000"/>
                      <w14:lumOff w14:val="15000"/>
                    </w14:schemeClr>
                  </w14:solidFill>
                </w14:textFill>
              </w:rPr>
              <w:t>108</w:t>
            </w:r>
            <w:r>
              <w:rPr>
                <w:rFonts w:hint="eastAsia"/>
                <w:color w:val="262626" w:themeColor="text1" w:themeTint="D9"/>
                <w:sz w:val="18"/>
                <w:szCs w:val="18"/>
                <w14:textFill>
                  <w14:solidFill>
                    <w14:schemeClr w14:val="tx1">
                      <w14:lumMod w14:val="85000"/>
                      <w14:lumOff w14:val="15000"/>
                    </w14:schemeClr>
                  </w14:solidFill>
                </w14:textFill>
              </w:rPr>
              <w:t>米南山海上观音莲花宝座，顶礼佛足、吉祥祈福。</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b/>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【亚龙湾沙滩】：</w:t>
            </w:r>
            <w:r>
              <w:rPr>
                <w:rFonts w:hint="eastAsia"/>
                <w:bCs/>
                <w:color w:val="262626" w:themeColor="text1" w:themeTint="D9"/>
                <w:sz w:val="18"/>
                <w:szCs w:val="18"/>
                <w14:textFill>
                  <w14:solidFill>
                    <w14:schemeClr w14:val="tx1">
                      <w14:lumMod w14:val="85000"/>
                      <w14:lumOff w14:val="15000"/>
                    </w14:schemeClr>
                  </w14:solidFill>
                </w14:textFill>
              </w:rPr>
              <w:t>（游览时间不少于40分钟）4A级景区，这里沙滩、阳光、碧水，绿树构成一幅美丽的滨海风光。</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橡胶科技馆：</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晚餐：含</w:t>
            </w:r>
          </w:p>
        </w:tc>
        <w:tc>
          <w:tcPr>
            <w:tcW w:w="307" w:type="dxa"/>
            <w:gridSpan w:val="2"/>
            <w:vMerge w:val="continue"/>
            <w:tcBorders>
              <w:top w:val="single" w:color="FFFFFF" w:sz="4" w:space="0"/>
              <w:left w:val="single" w:color="FFFFFF" w:sz="4" w:space="0"/>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0" w:hRule="atLeast"/>
          <w:jc w:val="center"/>
        </w:trPr>
        <w:tc>
          <w:tcPr>
            <w:tcW w:w="1864" w:type="dxa"/>
            <w:tcBorders>
              <w:top w:val="single" w:color="F1D2C2" w:sz="6" w:space="0"/>
              <w:left w:val="single" w:color="FFFFFF" w:sz="4"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 &gt;&gt; 海口</w:t>
            </w:r>
          </w:p>
        </w:tc>
        <w:tc>
          <w:tcPr>
            <w:tcW w:w="6480" w:type="dxa"/>
            <w:tcBorders>
              <w:top w:val="single" w:color="F1D2C2" w:sz="6" w:space="0"/>
              <w:left w:val="single" w:color="FFFFFF" w:sz="4" w:space="0"/>
              <w:right w:val="single" w:color="FFFFFF" w:sz="4" w:space="0"/>
            </w:tcBorders>
            <w:shd w:val="clear" w:color="auto" w:fill="auto"/>
            <w:vAlign w:val="center"/>
          </w:tcPr>
          <w:p>
            <w:pPr>
              <w:rPr>
                <w:color w:val="E60044"/>
                <w:sz w:val="18"/>
                <w:szCs w:val="18"/>
              </w:rPr>
            </w:pPr>
            <w:r>
              <w:rPr>
                <w:rFonts w:hint="eastAsia"/>
                <w:color w:val="E60044"/>
                <w:sz w:val="18"/>
                <w:szCs w:val="18"/>
              </w:rPr>
              <w:t>景点安排：</w:t>
            </w:r>
            <w:r>
              <w:rPr>
                <w:rFonts w:hint="eastAsia"/>
                <w:b/>
                <w:bCs/>
                <w:color w:val="E60044"/>
                <w:sz w:val="18"/>
                <w:szCs w:val="18"/>
              </w:rPr>
              <w:t>椰田古寨—兴隆热带植物园—观澜湖新城</w:t>
            </w:r>
          </w:p>
          <w:p>
            <w:pPr>
              <w:rPr>
                <w:sz w:val="18"/>
                <w:szCs w:val="18"/>
              </w:rPr>
            </w:pPr>
            <w:r>
              <w:rPr>
                <w:rFonts w:hint="eastAsia"/>
                <w:b/>
                <w:bCs/>
                <w:sz w:val="18"/>
                <w:szCs w:val="18"/>
              </w:rPr>
              <w:t>【椰田古寨】：</w:t>
            </w:r>
            <w:r>
              <w:rPr>
                <w:rFonts w:hint="eastAsia"/>
                <w:sz w:val="18"/>
                <w:szCs w:val="18"/>
              </w:rPr>
              <w:t>（游览时间不少于90分钟）浏览黎族先民飘洋过海的历史印迹和文化记忆，既有大自然鬼斧神工的自然奇迹，又有厚重沉淀的具有上古遗风的钻木取火，黎族织锦等多项非物质文化遗产，更有刻于血肉之躯的古老文化遗存——黎族最后一代的绣面文身阿婆。</w:t>
            </w:r>
          </w:p>
          <w:p>
            <w:pPr>
              <w:rPr>
                <w:sz w:val="18"/>
                <w:szCs w:val="18"/>
              </w:rPr>
            </w:pPr>
            <w:r>
              <w:rPr>
                <w:rFonts w:hint="eastAsia"/>
                <w:b/>
                <w:bCs/>
                <w:sz w:val="18"/>
                <w:szCs w:val="18"/>
              </w:rPr>
              <w:t>【兴隆热带植物园】：</w:t>
            </w:r>
            <w:r>
              <w:rPr>
                <w:rFonts w:hint="eastAsia"/>
                <w:sz w:val="18"/>
                <w:szCs w:val="18"/>
              </w:rPr>
              <w:t>（游览时间不少于90分钟）一本关于热带植物的百科全书，大自然的种种奇妙在这里五彩纷呈，名优稀特不胜枚举；穿行于植物园，获得一份探奇的惊喜、一种释然的心态；各种奇特的热带植物花木组成一幅幅美丽的图画，置身其中，仿如画中游。</w:t>
            </w:r>
          </w:p>
          <w:p>
            <w:pPr>
              <w:rPr>
                <w:sz w:val="18"/>
                <w:szCs w:val="18"/>
              </w:rPr>
            </w:pPr>
            <w:r>
              <w:rPr>
                <w:rFonts w:hint="eastAsia"/>
                <w:b/>
                <w:bCs/>
                <w:sz w:val="18"/>
                <w:szCs w:val="18"/>
              </w:rPr>
              <w:t>【观澜湖新城】：</w:t>
            </w:r>
            <w:r>
              <w:rPr>
                <w:rFonts w:hint="eastAsia"/>
                <w:sz w:val="18"/>
                <w:szCs w:val="18"/>
              </w:rPr>
              <w:t>（游览时间不少于30分钟）感受有吃、有玩、有得逛的绿色生态城市综合体（本行程仅限18:00之后航班）。</w:t>
            </w:r>
          </w:p>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rPr>
                <w:sz w:val="18"/>
                <w:szCs w:val="18"/>
                <w:lang w:val="zh-TW"/>
              </w:rPr>
            </w:pPr>
            <w:r>
              <w:rPr>
                <w:rFonts w:hint="eastAsia"/>
                <w:color w:val="E60044"/>
                <w:sz w:val="18"/>
                <w:szCs w:val="18"/>
                <w:lang w:val="zh-TW"/>
              </w:rPr>
              <w:t>餐饮安排：</w:t>
            </w:r>
            <w:r>
              <w:rPr>
                <w:rFonts w:hint="eastAsia"/>
                <w:sz w:val="18"/>
                <w:szCs w:val="18"/>
                <w:lang w:val="zh-TW"/>
              </w:rPr>
              <w:t>早餐：酒店用餐   中餐：含   晚餐：自理</w:t>
            </w:r>
          </w:p>
        </w:tc>
        <w:tc>
          <w:tcPr>
            <w:tcW w:w="307" w:type="dxa"/>
            <w:gridSpan w:val="2"/>
            <w:vMerge w:val="continue"/>
            <w:tcBorders>
              <w:top w:val="single" w:color="FFFFFF" w:sz="4" w:space="0"/>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57" w:type="dxa"/>
            <w:left w:w="57" w:type="dxa"/>
            <w:bottom w:w="57" w:type="dxa"/>
            <w:right w:w="57" w:type="dxa"/>
          </w:tblCellMar>
        </w:tblPrEx>
        <w:trPr>
          <w:trHeight w:val="20" w:hRule="atLeast"/>
          <w:jc w:val="center"/>
        </w:trPr>
        <w:tc>
          <w:tcPr>
            <w:tcW w:w="1864" w:type="dxa"/>
            <w:tcBorders>
              <w:top w:val="single" w:color="F1D2C2" w:sz="6" w:space="0"/>
              <w:left w:val="single" w:color="FFFFFF" w:sz="4" w:space="0"/>
              <w:right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温馨的家</w:t>
            </w:r>
          </w:p>
        </w:tc>
        <w:tc>
          <w:tcPr>
            <w:tcW w:w="6480" w:type="dxa"/>
            <w:tcBorders>
              <w:top w:val="single" w:color="F1D2C2" w:sz="6" w:space="0"/>
              <w:left w:val="single" w:color="FFFFFF" w:sz="4" w:space="0"/>
              <w:right w:val="single" w:color="FFFFFF" w:sz="4" w:space="0"/>
            </w:tcBorders>
            <w:shd w:val="clear" w:color="auto" w:fill="auto"/>
            <w:vAlign w:val="center"/>
          </w:tcPr>
          <w:p>
            <w:pPr>
              <w:rPr>
                <w:sz w:val="18"/>
                <w:szCs w:val="18"/>
                <w:lang w:val="zh-TW"/>
              </w:rPr>
            </w:pPr>
            <w:r>
              <w:rPr>
                <w:rFonts w:hint="eastAsia"/>
                <w:sz w:val="18"/>
                <w:szCs w:val="18"/>
                <w:lang w:val="zh-TW"/>
              </w:rPr>
              <w:t>专人送机，乘机返回温馨家园（酒店退房时间为中午12点前）。</w:t>
            </w:r>
          </w:p>
          <w:p>
            <w:pPr>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rPr>
                <w:sz w:val="18"/>
                <w:szCs w:val="18"/>
                <w:lang w:val="zh-TW"/>
              </w:rPr>
            </w:pPr>
          </w:p>
          <w:p>
            <w:pPr>
              <w:rPr>
                <w:sz w:val="18"/>
                <w:szCs w:val="18"/>
                <w:u w:val="single"/>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tcBorders>
              <w:top w:val="single" w:color="FFFFFF" w:sz="4" w:space="0"/>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4" w:type="dxa"/>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tbl>
      <w:tblPr>
        <w:tblStyle w:val="6"/>
        <w:tblpPr w:leftFromText="180" w:rightFromText="180" w:vertAnchor="text" w:horzAnchor="page" w:tblpX="397" w:tblpY="174"/>
        <w:tblOverlap w:val="never"/>
        <w:tblW w:w="11225" w:type="dxa"/>
        <w:tblInd w:w="0" w:type="dxa"/>
        <w:tblLayout w:type="fixed"/>
        <w:tblCellMar>
          <w:top w:w="113" w:type="dxa"/>
          <w:left w:w="57" w:type="dxa"/>
          <w:bottom w:w="113" w:type="dxa"/>
          <w:right w:w="57" w:type="dxa"/>
        </w:tblCellMar>
      </w:tblPr>
      <w:tblGrid>
        <w:gridCol w:w="1689"/>
        <w:gridCol w:w="9536"/>
      </w:tblGrid>
      <w:tr>
        <w:tblPrEx>
          <w:tblLayout w:type="fixed"/>
          <w:tblCellMar>
            <w:top w:w="113" w:type="dxa"/>
            <w:left w:w="57" w:type="dxa"/>
            <w:bottom w:w="113" w:type="dxa"/>
            <w:right w:w="57" w:type="dxa"/>
          </w:tblCellMar>
        </w:tblPrEx>
        <w:trPr>
          <w:trHeight w:val="90" w:hRule="atLeast"/>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152" w:hRule="atLeast"/>
        </w:trPr>
        <w:tc>
          <w:tcPr>
            <w:tcW w:w="11225" w:type="dxa"/>
            <w:gridSpan w:val="2"/>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全程升级1晚5A南山景区酒店、搭配品质酒店；</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7</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正餐标25元/人/餐，</w:t>
            </w:r>
            <w:r>
              <w:rPr>
                <w:rFonts w:hint="eastAsia" w:ascii="Arial" w:hAnsi="Arial" w:cs="Arial"/>
                <w:sz w:val="18"/>
                <w:szCs w:val="18"/>
              </w:rPr>
              <w:t>升级品鉴“专属定制雨林特色养生餐”与“南山素斋”各1次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330" w:hRule="atLeast"/>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305" w:hRule="atLeast"/>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487" w:hRule="atLeast"/>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海尚丝寓、宝华、格林豪泰、维也纳</w:t>
            </w:r>
          </w:p>
        </w:tc>
      </w:tr>
      <w:tr>
        <w:tblPrEx>
          <w:tblLayout w:type="fixed"/>
          <w:tblCellMar>
            <w:top w:w="113" w:type="dxa"/>
            <w:left w:w="57" w:type="dxa"/>
            <w:bottom w:w="113" w:type="dxa"/>
            <w:right w:w="57" w:type="dxa"/>
          </w:tblCellMar>
        </w:tblPrEx>
        <w:trPr>
          <w:trHeight w:val="129" w:hRule="atLeast"/>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特色酒店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南山园景房(如遇酒店占房则调为开元酒店、颐和酒店)</w:t>
            </w:r>
          </w:p>
        </w:tc>
      </w:tr>
      <w:tr>
        <w:tblPrEx>
          <w:tblLayout w:type="fixed"/>
          <w:tblCellMar>
            <w:top w:w="113" w:type="dxa"/>
            <w:left w:w="57" w:type="dxa"/>
            <w:bottom w:w="113" w:type="dxa"/>
            <w:right w:w="57" w:type="dxa"/>
          </w:tblCellMar>
        </w:tblPrEx>
        <w:trPr>
          <w:trHeight w:val="183" w:hRule="atLeast"/>
        </w:trPr>
        <w:tc>
          <w:tcPr>
            <w:tcW w:w="1689" w:type="dxa"/>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pPr>
            <w:r>
              <w:rPr>
                <w:rFonts w:hint="eastAsia" w:ascii="宋体" w:hAnsi="宋体"/>
                <w:color w:val="262626" w:themeColor="text1" w:themeTint="D9"/>
                <w:sz w:val="18"/>
                <w:szCs w:val="18"/>
                <w14:textFill>
                  <w14:solidFill>
                    <w14:schemeClr w14:val="tx1">
                      <w14:lumMod w14:val="85000"/>
                      <w14:lumOff w14:val="15000"/>
                    </w14:schemeClr>
                  </w14:solidFill>
                </w14:textFill>
              </w:rPr>
              <w:t>禅意、雅布伦、鲁迅、顺龙</w:t>
            </w:r>
          </w:p>
        </w:tc>
      </w:tr>
      <w:tr>
        <w:tblPrEx>
          <w:tblLayout w:type="fixed"/>
          <w:tblCellMar>
            <w:top w:w="113" w:type="dxa"/>
            <w:left w:w="57" w:type="dxa"/>
            <w:bottom w:w="113" w:type="dxa"/>
            <w:right w:w="57" w:type="dxa"/>
          </w:tblCellMar>
        </w:tblPrEx>
        <w:trPr>
          <w:trHeight w:val="90" w:hRule="atLeast"/>
        </w:trPr>
        <w:tc>
          <w:tcPr>
            <w:tcW w:w="11225" w:type="dxa"/>
            <w:gridSpan w:val="2"/>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bl>
            <w:tblPr>
              <w:tblStyle w:val="6"/>
              <w:tblpPr w:leftFromText="180" w:rightFromText="180" w:vertAnchor="text" w:horzAnchor="page" w:tblpX="397" w:tblpY="174"/>
              <w:tblOverlap w:val="never"/>
              <w:tblW w:w="11220" w:type="dxa"/>
              <w:tblInd w:w="0" w:type="dxa"/>
              <w:tblLayout w:type="fixed"/>
              <w:tblCellMar>
                <w:top w:w="113" w:type="dxa"/>
                <w:left w:w="57" w:type="dxa"/>
                <w:bottom w:w="113" w:type="dxa"/>
                <w:right w:w="57" w:type="dxa"/>
              </w:tblCellMar>
            </w:tblPr>
            <w:tblGrid>
              <w:gridCol w:w="1560"/>
              <w:gridCol w:w="9660"/>
            </w:tblGrid>
            <w:tr>
              <w:tblPrEx>
                <w:tblLayout w:type="fixed"/>
                <w:tblCellMar>
                  <w:top w:w="113" w:type="dxa"/>
                  <w:left w:w="57" w:type="dxa"/>
                  <w:bottom w:w="113" w:type="dxa"/>
                  <w:right w:w="57" w:type="dxa"/>
                </w:tblCellMar>
              </w:tblPrEx>
              <w:trPr>
                <w:trHeight w:val="240" w:hRule="atLeast"/>
              </w:trPr>
              <w:tc>
                <w:tcPr>
                  <w:tcW w:w="11220" w:type="dxa"/>
                  <w:gridSpan w:val="2"/>
                  <w:tcBorders>
                    <w:top w:val="nil"/>
                    <w:left w:val="nil"/>
                    <w:bottom w:val="single" w:color="E60044" w:sz="4" w:space="0"/>
                    <w:right w:val="nil"/>
                  </w:tcBorders>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餐饮说明</w:t>
                  </w:r>
                </w:p>
              </w:tc>
            </w:tr>
            <w:tr>
              <w:tblPrEx>
                <w:tblLayout w:type="fixed"/>
                <w:tblCellMar>
                  <w:top w:w="113" w:type="dxa"/>
                  <w:left w:w="57" w:type="dxa"/>
                  <w:bottom w:w="113" w:type="dxa"/>
                  <w:right w:w="57" w:type="dxa"/>
                </w:tblCellMar>
              </w:tblPrEx>
              <w:trPr>
                <w:trHeight w:val="373" w:hRule="atLeast"/>
              </w:trPr>
              <w:tc>
                <w:tcPr>
                  <w:tcW w:w="1560"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Arial" w:hAnsi="Arial" w:cs="Arial"/>
                      <w:sz w:val="18"/>
                      <w:szCs w:val="18"/>
                    </w:rPr>
                    <w:t>专属定制雨林特色养生餐</w:t>
                  </w:r>
                </w:p>
              </w:tc>
              <w:tc>
                <w:tcPr>
                  <w:tcW w:w="9660" w:type="dxa"/>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野菜蛋花汤、药膳蒸果园鸡、槟榔花蒸水库鱼、雨林南药香卤鸭、有机番茄炒土鸡蛋、西芹山药炒木耳、野菜美极豆腐、清炒土豆丝、蒜香山野菜、五谷杂粮拼、热带雨林水果盘</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c>
      </w:tr>
    </w:tbl>
    <w:p>
      <w:pPr>
        <w:tabs>
          <w:tab w:val="left" w:pos="945"/>
        </w:tabs>
      </w:pPr>
      <w:r>
        <w:tab/>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w:t>
            </w:r>
            <w:r>
              <w:rPr>
                <w:rFonts w:hint="eastAsia"/>
                <w:sz w:val="18"/>
                <w:szCs w:val="21"/>
              </w:rPr>
              <w:t>“一价全包”解释：我社郑重承诺本线路</w:t>
            </w:r>
            <w:r>
              <w:rPr>
                <w:rFonts w:hint="eastAsia"/>
                <w:sz w:val="18"/>
                <w:szCs w:val="18"/>
              </w:rPr>
              <w:t>全程不增加任何自费景点和购物店，</w:t>
            </w:r>
            <w:r>
              <w:rPr>
                <w:rFonts w:hint="eastAsia"/>
                <w:sz w:val="18"/>
                <w:szCs w:val="21"/>
              </w:rPr>
              <w:t>但不适用于游客自行自愿所选择的：海上自愿娱乐项目、景区内交通工具及特色演出（实际价格请以运营商公布为准）；不适用于游客自行自愿所选择的</w:t>
            </w:r>
            <w:r>
              <w:rPr>
                <w:rFonts w:hint="eastAsia" w:asciiTheme="minorEastAsia" w:hAnsiTheme="minorEastAsia" w:cstheme="minorEastAsia"/>
                <w:sz w:val="18"/>
                <w:szCs w:val="21"/>
              </w:rPr>
              <w:t>景区内购物，海南部分景区及酒店为方便旅游者有自设的商场及购物场所，并非我社安排的旅游购物店，属于第三方与您之间自愿行为，此类投诉我社无法受理；游客如另有购物需求，敬请自行前往；敬请谅解。</w:t>
            </w:r>
            <w:r>
              <w:rPr>
                <w:rFonts w:hint="eastAsia"/>
                <w:sz w:val="18"/>
                <w:szCs w:val="21"/>
              </w:rPr>
              <w:t>“赔付承诺”仅适用于：游客在海南旅游过程中进行的现场赔付，若行程已结束，回到出发地再提异议或投诉，我社概不受理；在法律允许范围内，最终解释权归海南地接社所有。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361" w:hanging="361" w:hangingChars="200"/>
              <w:rPr>
                <w:rFonts w:asciiTheme="minorEastAsia" w:hAnsiTheme="minorEastAsia" w:cstheme="minorEastAsia"/>
                <w:b/>
                <w:bCs/>
                <w:sz w:val="18"/>
                <w:szCs w:val="18"/>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p>
            <w:pPr>
              <w:spacing w:before="62" w:beforeLines="20" w:after="62" w:afterLines="20"/>
              <w:ind w:left="270" w:hanging="270" w:hangingChars="150"/>
              <w:rPr>
                <w:sz w:val="18"/>
                <w:szCs w:val="21"/>
              </w:rPr>
            </w:pPr>
            <w:r>
              <w:rPr>
                <w:sz w:val="18"/>
                <w:szCs w:val="21"/>
              </w:rPr>
              <w:t>1</w:t>
            </w:r>
            <w:r>
              <w:rPr>
                <w:rFonts w:hint="eastAsia"/>
                <w:sz w:val="18"/>
                <w:szCs w:val="21"/>
              </w:rPr>
              <w:t>5、病患者及行动不便者预订提示：为确保顺利出行，防止途中发生人身意外伤害事故，请旅游者在出行前做一次必要的身体检查，如存在下列情况，请遵医嘱：</w:t>
            </w:r>
          </w:p>
          <w:p>
            <w:pPr>
              <w:spacing w:before="62" w:beforeLines="20" w:after="62" w:afterLines="20"/>
              <w:ind w:left="270" w:hanging="270" w:hangingChars="150"/>
              <w:rPr>
                <w:sz w:val="18"/>
                <w:szCs w:val="21"/>
              </w:rPr>
            </w:pPr>
            <w:r>
              <w:rPr>
                <w:rFonts w:hint="eastAsia"/>
                <w:sz w:val="18"/>
                <w:szCs w:val="21"/>
              </w:rPr>
              <w:t>（</w:t>
            </w:r>
            <w:r>
              <w:rPr>
                <w:sz w:val="18"/>
                <w:szCs w:val="21"/>
              </w:rPr>
              <w:t>1</w:t>
            </w:r>
            <w:r>
              <w:rPr>
                <w:rFonts w:hint="eastAsia"/>
                <w:sz w:val="18"/>
                <w:szCs w:val="21"/>
              </w:rPr>
              <w:t>）传染性疾病患者，如传染性肝炎、活动期肺结核、伤寒等传染病人；</w:t>
            </w:r>
          </w:p>
          <w:p>
            <w:pPr>
              <w:spacing w:before="62" w:beforeLines="20" w:after="62" w:afterLines="20"/>
              <w:ind w:left="270" w:hanging="270" w:hangingChars="150"/>
              <w:rPr>
                <w:sz w:val="18"/>
                <w:szCs w:val="21"/>
              </w:rPr>
            </w:pPr>
            <w:r>
              <w:rPr>
                <w:rFonts w:hint="eastAsia"/>
                <w:sz w:val="18"/>
                <w:szCs w:val="21"/>
              </w:rPr>
              <w:t>（</w:t>
            </w:r>
            <w:r>
              <w:rPr>
                <w:sz w:val="18"/>
                <w:szCs w:val="21"/>
              </w:rPr>
              <w:t>2</w:t>
            </w:r>
            <w:r>
              <w:rPr>
                <w:rFonts w:hint="eastAsia"/>
                <w:sz w:val="18"/>
                <w:szCs w:val="21"/>
              </w:rPr>
              <w:t>）心血管疾病患者，如严重高血压、心功能不全、心肌缺氧、心肌梗塞等病人；</w:t>
            </w:r>
          </w:p>
          <w:p>
            <w:pPr>
              <w:spacing w:before="62" w:beforeLines="20" w:after="62" w:afterLines="20"/>
              <w:ind w:left="270" w:hanging="270" w:hangingChars="150"/>
              <w:rPr>
                <w:sz w:val="18"/>
                <w:szCs w:val="21"/>
              </w:rPr>
            </w:pPr>
            <w:r>
              <w:rPr>
                <w:rFonts w:hint="eastAsia"/>
                <w:sz w:val="18"/>
                <w:szCs w:val="21"/>
              </w:rPr>
              <w:t>（</w:t>
            </w:r>
            <w:r>
              <w:rPr>
                <w:sz w:val="18"/>
                <w:szCs w:val="21"/>
              </w:rPr>
              <w:t>3</w:t>
            </w:r>
            <w:r>
              <w:rPr>
                <w:rFonts w:hint="eastAsia"/>
                <w:sz w:val="18"/>
                <w:szCs w:val="21"/>
              </w:rPr>
              <w:t>）脑血管疾病患者，如脑栓塞、脑出血、脑肿瘤等病人；</w:t>
            </w:r>
          </w:p>
          <w:p>
            <w:pPr>
              <w:spacing w:before="62" w:beforeLines="20" w:after="62" w:afterLines="20"/>
              <w:ind w:left="270" w:hanging="270" w:hangingChars="150"/>
              <w:rPr>
                <w:sz w:val="18"/>
                <w:szCs w:val="21"/>
              </w:rPr>
            </w:pPr>
            <w:r>
              <w:rPr>
                <w:rFonts w:hint="eastAsia"/>
                <w:sz w:val="18"/>
                <w:szCs w:val="21"/>
              </w:rPr>
              <w:t>（</w:t>
            </w:r>
            <w:r>
              <w:rPr>
                <w:sz w:val="18"/>
                <w:szCs w:val="21"/>
              </w:rPr>
              <w:t>4</w:t>
            </w:r>
            <w:r>
              <w:rPr>
                <w:rFonts w:hint="eastAsia"/>
                <w:sz w:val="18"/>
                <w:szCs w:val="21"/>
              </w:rPr>
              <w:t>）呼吸系统疾病患者，如肺气肿、肺心病等病人；</w:t>
            </w:r>
          </w:p>
          <w:p>
            <w:pPr>
              <w:spacing w:before="62" w:beforeLines="20" w:after="62" w:afterLines="20"/>
              <w:ind w:left="270" w:hanging="270" w:hangingChars="150"/>
              <w:rPr>
                <w:sz w:val="18"/>
                <w:szCs w:val="21"/>
              </w:rPr>
            </w:pPr>
            <w:r>
              <w:rPr>
                <w:rFonts w:hint="eastAsia"/>
                <w:sz w:val="18"/>
                <w:szCs w:val="21"/>
              </w:rPr>
              <w:t>（</w:t>
            </w:r>
            <w:r>
              <w:rPr>
                <w:sz w:val="18"/>
                <w:szCs w:val="21"/>
              </w:rPr>
              <w:t>5</w:t>
            </w:r>
            <w:r>
              <w:rPr>
                <w:rFonts w:hint="eastAsia"/>
                <w:sz w:val="18"/>
                <w:szCs w:val="21"/>
              </w:rPr>
              <w:t>）精神病患者，如癫痫及各种精神病人；</w:t>
            </w:r>
          </w:p>
          <w:p>
            <w:pPr>
              <w:spacing w:before="62" w:beforeLines="20" w:after="62" w:afterLines="20"/>
              <w:ind w:left="270" w:hanging="270" w:hangingChars="150"/>
              <w:rPr>
                <w:sz w:val="18"/>
                <w:szCs w:val="21"/>
              </w:rPr>
            </w:pPr>
            <w:r>
              <w:rPr>
                <w:rFonts w:hint="eastAsia"/>
                <w:sz w:val="18"/>
                <w:szCs w:val="21"/>
              </w:rPr>
              <w:t>（</w:t>
            </w:r>
            <w:r>
              <w:rPr>
                <w:sz w:val="18"/>
                <w:szCs w:val="21"/>
              </w:rPr>
              <w:t>6</w:t>
            </w:r>
            <w:r>
              <w:rPr>
                <w:rFonts w:hint="eastAsia"/>
                <w:sz w:val="18"/>
                <w:szCs w:val="21"/>
              </w:rPr>
              <w:t>）严重贫血病患者，如血红蛋白量水平在</w:t>
            </w:r>
            <w:r>
              <w:rPr>
                <w:sz w:val="18"/>
                <w:szCs w:val="21"/>
              </w:rPr>
              <w:t>50</w:t>
            </w:r>
            <w:r>
              <w:rPr>
                <w:rFonts w:hint="eastAsia"/>
                <w:sz w:val="18"/>
                <w:szCs w:val="21"/>
              </w:rPr>
              <w:t>克</w:t>
            </w:r>
            <w:r>
              <w:rPr>
                <w:sz w:val="18"/>
                <w:szCs w:val="21"/>
              </w:rPr>
              <w:t>/</w:t>
            </w:r>
            <w:r>
              <w:rPr>
                <w:rFonts w:hint="eastAsia"/>
                <w:sz w:val="18"/>
                <w:szCs w:val="21"/>
              </w:rPr>
              <w:t>升以下的病人；</w:t>
            </w:r>
          </w:p>
          <w:p>
            <w:pPr>
              <w:spacing w:before="62" w:beforeLines="20" w:after="62" w:afterLines="20"/>
              <w:ind w:left="270" w:hanging="270" w:hangingChars="150"/>
              <w:rPr>
                <w:sz w:val="18"/>
                <w:szCs w:val="21"/>
              </w:rPr>
            </w:pPr>
            <w:r>
              <w:rPr>
                <w:rFonts w:hint="eastAsia"/>
                <w:sz w:val="18"/>
                <w:szCs w:val="21"/>
              </w:rPr>
              <w:t>（</w:t>
            </w:r>
            <w:r>
              <w:rPr>
                <w:sz w:val="18"/>
                <w:szCs w:val="21"/>
              </w:rPr>
              <w:t>7</w:t>
            </w:r>
            <w:r>
              <w:rPr>
                <w:rFonts w:hint="eastAsia"/>
                <w:sz w:val="18"/>
                <w:szCs w:val="21"/>
              </w:rPr>
              <w:t>）大中型手术的恢复期病患者；</w:t>
            </w:r>
          </w:p>
          <w:p>
            <w:pPr>
              <w:spacing w:before="62" w:beforeLines="20" w:after="62" w:afterLines="20"/>
              <w:ind w:left="270" w:hanging="270" w:hangingChars="150"/>
              <w:rPr>
                <w:sz w:val="18"/>
                <w:szCs w:val="21"/>
              </w:rPr>
            </w:pPr>
            <w:r>
              <w:rPr>
                <w:rFonts w:hint="eastAsia"/>
                <w:sz w:val="18"/>
                <w:szCs w:val="21"/>
              </w:rPr>
              <w:t>（</w:t>
            </w:r>
            <w:r>
              <w:rPr>
                <w:sz w:val="18"/>
                <w:szCs w:val="21"/>
              </w:rPr>
              <w:t>8</w:t>
            </w:r>
            <w:r>
              <w:rPr>
                <w:rFonts w:hint="eastAsia"/>
                <w:sz w:val="18"/>
                <w:szCs w:val="21"/>
              </w:rPr>
              <w:t>）行动不便者；</w:t>
            </w:r>
          </w:p>
          <w:p>
            <w:pPr>
              <w:spacing w:before="62" w:beforeLines="20" w:after="62" w:afterLines="20"/>
              <w:ind w:left="360" w:hanging="360" w:hanging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sz w:val="18"/>
                <w:szCs w:val="21"/>
              </w:rPr>
              <w:t>注：</w:t>
            </w:r>
            <w:r>
              <w:rPr>
                <w:sz w:val="18"/>
                <w:szCs w:val="21"/>
              </w:rPr>
              <w:t>70</w:t>
            </w:r>
            <w:r>
              <w:rPr>
                <w:rFonts w:hint="eastAsia"/>
                <w:sz w:val="18"/>
                <w:szCs w:val="21"/>
              </w:rPr>
              <w:t>周岁以上老年人预订出游，须与组团社签订《健康证明》</w:t>
            </w:r>
            <w:r>
              <w:rPr>
                <w:sz w:val="18"/>
                <w:szCs w:val="21"/>
              </w:rPr>
              <w:t>.</w:t>
            </w:r>
            <w:r>
              <w:rPr>
                <w:rFonts w:hint="eastAsia"/>
                <w:sz w:val="18"/>
                <w:szCs w:val="21"/>
              </w:rPr>
              <w:t>因服务能力所限，无法接待</w:t>
            </w:r>
            <w:r>
              <w:rPr>
                <w:sz w:val="18"/>
                <w:szCs w:val="21"/>
              </w:rPr>
              <w:t>75</w:t>
            </w:r>
            <w:r>
              <w:rPr>
                <w:rFonts w:hint="eastAsia"/>
                <w:sz w:val="18"/>
                <w:szCs w:val="21"/>
              </w:rPr>
              <w:t>周岁以上的旅游者报名出游，敬请谅解。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4D3F"/>
    <w:rsid w:val="0001212C"/>
    <w:rsid w:val="00013B8B"/>
    <w:rsid w:val="00032050"/>
    <w:rsid w:val="00041A20"/>
    <w:rsid w:val="00062FB4"/>
    <w:rsid w:val="0009651F"/>
    <w:rsid w:val="000C6ECB"/>
    <w:rsid w:val="00111157"/>
    <w:rsid w:val="001226E3"/>
    <w:rsid w:val="00132220"/>
    <w:rsid w:val="00155E1C"/>
    <w:rsid w:val="00163CD0"/>
    <w:rsid w:val="00182CD1"/>
    <w:rsid w:val="00197B84"/>
    <w:rsid w:val="001A3F0D"/>
    <w:rsid w:val="001A5209"/>
    <w:rsid w:val="001A67D3"/>
    <w:rsid w:val="001B2260"/>
    <w:rsid w:val="001C741E"/>
    <w:rsid w:val="001E5A35"/>
    <w:rsid w:val="00202A3C"/>
    <w:rsid w:val="00205DF8"/>
    <w:rsid w:val="002133EB"/>
    <w:rsid w:val="002546C2"/>
    <w:rsid w:val="00261EE9"/>
    <w:rsid w:val="00294CAA"/>
    <w:rsid w:val="002950DF"/>
    <w:rsid w:val="002965B9"/>
    <w:rsid w:val="002E74F3"/>
    <w:rsid w:val="00306DA7"/>
    <w:rsid w:val="00330F05"/>
    <w:rsid w:val="0033680A"/>
    <w:rsid w:val="00354F87"/>
    <w:rsid w:val="00382F32"/>
    <w:rsid w:val="003B1A25"/>
    <w:rsid w:val="003C0FA3"/>
    <w:rsid w:val="003D265D"/>
    <w:rsid w:val="003D70A5"/>
    <w:rsid w:val="00400BDE"/>
    <w:rsid w:val="00436BAF"/>
    <w:rsid w:val="004650B0"/>
    <w:rsid w:val="00473CE0"/>
    <w:rsid w:val="00477D04"/>
    <w:rsid w:val="00487A2E"/>
    <w:rsid w:val="00490C74"/>
    <w:rsid w:val="004B7085"/>
    <w:rsid w:val="004C0BB7"/>
    <w:rsid w:val="004E475A"/>
    <w:rsid w:val="004F1FB2"/>
    <w:rsid w:val="00503CBF"/>
    <w:rsid w:val="005211CC"/>
    <w:rsid w:val="00543732"/>
    <w:rsid w:val="00572F55"/>
    <w:rsid w:val="005805A8"/>
    <w:rsid w:val="005B1C3E"/>
    <w:rsid w:val="005D7E49"/>
    <w:rsid w:val="006058AD"/>
    <w:rsid w:val="00643BA9"/>
    <w:rsid w:val="006544BA"/>
    <w:rsid w:val="006962B7"/>
    <w:rsid w:val="00696DF1"/>
    <w:rsid w:val="006A4FC3"/>
    <w:rsid w:val="006A6C4A"/>
    <w:rsid w:val="006C5921"/>
    <w:rsid w:val="006E1A45"/>
    <w:rsid w:val="007367AC"/>
    <w:rsid w:val="007605D7"/>
    <w:rsid w:val="007765E8"/>
    <w:rsid w:val="007766F8"/>
    <w:rsid w:val="007A0681"/>
    <w:rsid w:val="007B3093"/>
    <w:rsid w:val="007D2A89"/>
    <w:rsid w:val="007D70AF"/>
    <w:rsid w:val="00802803"/>
    <w:rsid w:val="00831CC6"/>
    <w:rsid w:val="0085765E"/>
    <w:rsid w:val="00860FD4"/>
    <w:rsid w:val="00883121"/>
    <w:rsid w:val="008935D6"/>
    <w:rsid w:val="008F364C"/>
    <w:rsid w:val="00901651"/>
    <w:rsid w:val="00910255"/>
    <w:rsid w:val="00987C0E"/>
    <w:rsid w:val="00987F80"/>
    <w:rsid w:val="00A01E14"/>
    <w:rsid w:val="00A04B01"/>
    <w:rsid w:val="00A31315"/>
    <w:rsid w:val="00A323AA"/>
    <w:rsid w:val="00A4332B"/>
    <w:rsid w:val="00A50CEA"/>
    <w:rsid w:val="00A95FBE"/>
    <w:rsid w:val="00AA0DDD"/>
    <w:rsid w:val="00AA6CCB"/>
    <w:rsid w:val="00AF670F"/>
    <w:rsid w:val="00B0554B"/>
    <w:rsid w:val="00B069BD"/>
    <w:rsid w:val="00B115F1"/>
    <w:rsid w:val="00B30C1E"/>
    <w:rsid w:val="00B31238"/>
    <w:rsid w:val="00B4688C"/>
    <w:rsid w:val="00B55630"/>
    <w:rsid w:val="00B87588"/>
    <w:rsid w:val="00BA06BC"/>
    <w:rsid w:val="00BA7005"/>
    <w:rsid w:val="00BC1B21"/>
    <w:rsid w:val="00C078D4"/>
    <w:rsid w:val="00C10F22"/>
    <w:rsid w:val="00C36899"/>
    <w:rsid w:val="00C517ED"/>
    <w:rsid w:val="00CD443F"/>
    <w:rsid w:val="00CD4FAA"/>
    <w:rsid w:val="00CD7581"/>
    <w:rsid w:val="00D14498"/>
    <w:rsid w:val="00D761E1"/>
    <w:rsid w:val="00DA57E5"/>
    <w:rsid w:val="00DC057D"/>
    <w:rsid w:val="00DC7A47"/>
    <w:rsid w:val="00E14459"/>
    <w:rsid w:val="00E17619"/>
    <w:rsid w:val="00E22F99"/>
    <w:rsid w:val="00E504B7"/>
    <w:rsid w:val="00E76FF6"/>
    <w:rsid w:val="00EB1B66"/>
    <w:rsid w:val="00EB617A"/>
    <w:rsid w:val="00EE5B3D"/>
    <w:rsid w:val="00F06DE7"/>
    <w:rsid w:val="00F648A0"/>
    <w:rsid w:val="00F727A1"/>
    <w:rsid w:val="00F72E74"/>
    <w:rsid w:val="00FA61C9"/>
    <w:rsid w:val="00FB0161"/>
    <w:rsid w:val="00FB4D66"/>
    <w:rsid w:val="00FD692F"/>
    <w:rsid w:val="00FF3B6F"/>
    <w:rsid w:val="016A715F"/>
    <w:rsid w:val="01786AC3"/>
    <w:rsid w:val="02DB116F"/>
    <w:rsid w:val="02E8169C"/>
    <w:rsid w:val="03FE55A2"/>
    <w:rsid w:val="044A2E40"/>
    <w:rsid w:val="054617A1"/>
    <w:rsid w:val="0568681D"/>
    <w:rsid w:val="05EA05B9"/>
    <w:rsid w:val="060B3707"/>
    <w:rsid w:val="06573418"/>
    <w:rsid w:val="0771646C"/>
    <w:rsid w:val="07EB79D6"/>
    <w:rsid w:val="09956601"/>
    <w:rsid w:val="0A090807"/>
    <w:rsid w:val="0B952A4F"/>
    <w:rsid w:val="0BA115A6"/>
    <w:rsid w:val="0D6367E4"/>
    <w:rsid w:val="0E1B1F57"/>
    <w:rsid w:val="11821936"/>
    <w:rsid w:val="150A19EE"/>
    <w:rsid w:val="17C82FF6"/>
    <w:rsid w:val="19581DEA"/>
    <w:rsid w:val="1B983B79"/>
    <w:rsid w:val="1C627327"/>
    <w:rsid w:val="1DA52E88"/>
    <w:rsid w:val="21E37423"/>
    <w:rsid w:val="221456E5"/>
    <w:rsid w:val="2436699F"/>
    <w:rsid w:val="255F79DE"/>
    <w:rsid w:val="258955DB"/>
    <w:rsid w:val="2624703D"/>
    <w:rsid w:val="280A6EAC"/>
    <w:rsid w:val="29B30C6E"/>
    <w:rsid w:val="2B4262A0"/>
    <w:rsid w:val="2BE222CE"/>
    <w:rsid w:val="2CBE1646"/>
    <w:rsid w:val="2D0D48B7"/>
    <w:rsid w:val="2E7E3D5D"/>
    <w:rsid w:val="309872E1"/>
    <w:rsid w:val="30B87165"/>
    <w:rsid w:val="30DB5145"/>
    <w:rsid w:val="31015BBD"/>
    <w:rsid w:val="330F1A26"/>
    <w:rsid w:val="359176C6"/>
    <w:rsid w:val="37B83300"/>
    <w:rsid w:val="39B73441"/>
    <w:rsid w:val="39E40528"/>
    <w:rsid w:val="3A6401D0"/>
    <w:rsid w:val="3ACB5888"/>
    <w:rsid w:val="3F3434CA"/>
    <w:rsid w:val="3FE736FC"/>
    <w:rsid w:val="44AC71E3"/>
    <w:rsid w:val="4519401A"/>
    <w:rsid w:val="45311049"/>
    <w:rsid w:val="455005EE"/>
    <w:rsid w:val="459D00E8"/>
    <w:rsid w:val="4A770943"/>
    <w:rsid w:val="4AD90006"/>
    <w:rsid w:val="4D0C0565"/>
    <w:rsid w:val="4ECC72E7"/>
    <w:rsid w:val="511D4FF2"/>
    <w:rsid w:val="55A47791"/>
    <w:rsid w:val="563878AE"/>
    <w:rsid w:val="5705667E"/>
    <w:rsid w:val="597346A1"/>
    <w:rsid w:val="5CF4716A"/>
    <w:rsid w:val="5D1B22F7"/>
    <w:rsid w:val="5E1B7582"/>
    <w:rsid w:val="60E16E68"/>
    <w:rsid w:val="61A902A4"/>
    <w:rsid w:val="62004195"/>
    <w:rsid w:val="674549F6"/>
    <w:rsid w:val="67A75ECD"/>
    <w:rsid w:val="6A6D0F8E"/>
    <w:rsid w:val="6D301E87"/>
    <w:rsid w:val="6F6E2C29"/>
    <w:rsid w:val="6FC053B2"/>
    <w:rsid w:val="6FFC6A05"/>
    <w:rsid w:val="701E7300"/>
    <w:rsid w:val="71BF75E5"/>
    <w:rsid w:val="71CD5E96"/>
    <w:rsid w:val="72C2230F"/>
    <w:rsid w:val="738E2FE7"/>
    <w:rsid w:val="740C1D6B"/>
    <w:rsid w:val="778B1DFE"/>
    <w:rsid w:val="78707B6E"/>
    <w:rsid w:val="7A366D05"/>
    <w:rsid w:val="7C100E4F"/>
    <w:rsid w:val="7EBE714C"/>
    <w:rsid w:val="7FD72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5040</Words>
  <Characters>300</Characters>
  <Lines>2</Lines>
  <Paragraphs>10</Paragraphs>
  <TotalTime>117</TotalTime>
  <ScaleCrop>false</ScaleCrop>
  <LinksUpToDate>false</LinksUpToDate>
  <CharactersWithSpaces>5330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2019-08-14T09:02:52Z</dcterms:modified>
  <cp:revision>122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