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inline distT="0" distB="0" distL="114300" distR="114300">
            <wp:extent cx="7122795" cy="10078085"/>
            <wp:effectExtent l="0" t="0" r="1905" b="18415"/>
            <wp:docPr id="5" name="图片 5" descr="388de897a8f475f2adaeadc7cec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88de897a8f475f2adaeadc7cec2458"/>
                    <pic:cNvPicPr>
                      <a:picLocks noChangeAspect="1"/>
                    </pic:cNvPicPr>
                  </pic:nvPicPr>
                  <pic:blipFill>
                    <a:blip r:embed="rId6"/>
                    <a:stretch>
                      <a:fillRect/>
                    </a:stretch>
                  </pic:blipFill>
                  <pic:spPr>
                    <a:xfrm>
                      <a:off x="0" y="0"/>
                      <a:ext cx="7122795" cy="10078085"/>
                    </a:xfrm>
                    <a:prstGeom prst="rect">
                      <a:avLst/>
                    </a:prstGeom>
                  </pic:spPr>
                </pic:pic>
              </a:graphicData>
            </a:graphic>
          </wp:inline>
        </w:drawing>
      </w:r>
    </w:p>
    <w:p>
      <w:r>
        <w:drawing>
          <wp:anchor distT="0" distB="0" distL="114300" distR="114300" simplePos="0" relativeHeight="251662336" behindDoc="0" locked="0" layoutInCell="1" allowOverlap="1">
            <wp:simplePos x="0" y="0"/>
            <wp:positionH relativeFrom="column">
              <wp:posOffset>-215265</wp:posOffset>
            </wp:positionH>
            <wp:positionV relativeFrom="paragraph">
              <wp:posOffset>-215900</wp:posOffset>
            </wp:positionV>
            <wp:extent cx="7548880" cy="10681335"/>
            <wp:effectExtent l="0" t="0" r="0" b="57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8880" cy="10681335"/>
                    </a:xfrm>
                    <a:prstGeom prst="rect">
                      <a:avLst/>
                    </a:prstGeom>
                  </pic:spPr>
                </pic:pic>
              </a:graphicData>
            </a:graphic>
          </wp:anchor>
        </w:drawing>
      </w:r>
      <w:r>
        <w:br w:type="page"/>
      </w:r>
    </w:p>
    <w:p>
      <w:r>
        <w:drawing>
          <wp:anchor distT="0" distB="0" distL="114300" distR="114300" simplePos="0" relativeHeight="251671552" behindDoc="0" locked="0" layoutInCell="1" allowOverlap="1">
            <wp:simplePos x="0" y="0"/>
            <wp:positionH relativeFrom="column">
              <wp:posOffset>-215900</wp:posOffset>
            </wp:positionH>
            <wp:positionV relativeFrom="paragraph">
              <wp:posOffset>-213995</wp:posOffset>
            </wp:positionV>
            <wp:extent cx="7587615" cy="10729595"/>
            <wp:effectExtent l="0" t="0" r="13335" b="14605"/>
            <wp:wrapSquare wrapText="bothSides"/>
            <wp:docPr id="1" name="图片 1" descr="\\192.168.71.212\产品设计部共享\03康泰科目\02营销广告\12-产品源文件\01、跟团游\06-荣耀时光\荣耀时光-海边版\荣耀时光-海边版行程插图-P3.jpg荣耀时光-海边版行程插图-P3"/>
            <wp:cNvGraphicFramePr/>
            <a:graphic xmlns:a="http://schemas.openxmlformats.org/drawingml/2006/main">
              <a:graphicData uri="http://schemas.openxmlformats.org/drawingml/2006/picture">
                <pic:pic xmlns:pic="http://schemas.openxmlformats.org/drawingml/2006/picture">
                  <pic:nvPicPr>
                    <pic:cNvPr id="1" name="图片 1" descr="\\192.168.71.212\产品设计部共享\03康泰科目\02营销广告\12-产品源文件\01、跟团游\06-荣耀时光\荣耀时光-海边版\荣耀时光-海边版行程插图-P3.jpg荣耀时光-海边版行程插图-P3"/>
                    <pic:cNvPicPr/>
                  </pic:nvPicPr>
                  <pic:blipFill>
                    <a:blip r:embed="rId8"/>
                    <a:srcRect/>
                    <a:stretch>
                      <a:fillRect/>
                    </a:stretch>
                  </pic:blipFill>
                  <pic:spPr>
                    <a:xfrm>
                      <a:off x="0" y="0"/>
                      <a:ext cx="7587615" cy="10729595"/>
                    </a:xfrm>
                    <a:prstGeom prst="rect">
                      <a:avLst/>
                    </a:prstGeom>
                  </pic:spPr>
                </pic:pic>
              </a:graphicData>
            </a:graphic>
          </wp:anchor>
        </w:drawing>
      </w:r>
      <w:r>
        <w:br w:type="page"/>
      </w:r>
    </w:p>
    <w:p>
      <w:r>
        <w:drawing>
          <wp:anchor distT="0" distB="0" distL="114300" distR="114300" simplePos="0" relativeHeight="251672576" behindDoc="0" locked="0" layoutInCell="1" allowOverlap="1">
            <wp:simplePos x="0" y="0"/>
            <wp:positionH relativeFrom="column">
              <wp:posOffset>-215900</wp:posOffset>
            </wp:positionH>
            <wp:positionV relativeFrom="paragraph">
              <wp:posOffset>-215900</wp:posOffset>
            </wp:positionV>
            <wp:extent cx="7562850" cy="10697210"/>
            <wp:effectExtent l="0" t="0" r="0" b="889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850" cy="10697210"/>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863"/>
        <w:gridCol w:w="6478"/>
        <w:gridCol w:w="7"/>
        <w:gridCol w:w="300"/>
        <w:gridCol w:w="2577"/>
      </w:tblGrid>
      <w:tr>
        <w:tblPrEx>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荣耀时光（品牌版）</w:t>
            </w:r>
          </w:p>
        </w:tc>
      </w:tr>
      <w:tr>
        <w:tblPrEx>
          <w:tblCellMar>
            <w:top w:w="57" w:type="dxa"/>
            <w:left w:w="57" w:type="dxa"/>
            <w:bottom w:w="57" w:type="dxa"/>
            <w:right w:w="57" w:type="dxa"/>
          </w:tblCellMar>
        </w:tblPrEx>
        <w:trPr>
          <w:trHeight w:val="446" w:hRule="atLeast"/>
          <w:jc w:val="center"/>
        </w:trPr>
        <w:tc>
          <w:tcPr>
            <w:tcW w:w="8348" w:type="dxa"/>
            <w:gridSpan w:val="3"/>
            <w:tcBorders>
              <w:bottom w:val="single" w:color="C00000" w:sz="4" w:space="0"/>
              <w:tl2br w:val="nil"/>
              <w:tr2bl w:val="nil"/>
            </w:tcBorders>
            <w:shd w:val="clear" w:color="auto" w:fill="auto"/>
            <w:vAlign w:val="center"/>
          </w:tcPr>
          <w:p>
            <w:pPr>
              <w:jc w:val="left"/>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C00000"/>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住有面子：</w:t>
            </w:r>
          </w:p>
          <w:p>
            <w:pPr>
              <w:rPr>
                <w:rFonts w:ascii="宋体" w:hAnsi="宋体"/>
                <w:sz w:val="20"/>
                <w:szCs w:val="20"/>
              </w:rPr>
            </w:pPr>
            <w:r>
              <w:rPr>
                <w:rFonts w:hint="eastAsia" w:ascii="宋体" w:hAnsi="宋体"/>
                <w:sz w:val="20"/>
                <w:szCs w:val="20"/>
              </w:rPr>
              <w:t xml:space="preserve">入住国际品牌酒店，搭配海口指定酒店，享豪华度假。 </w:t>
            </w:r>
          </w:p>
          <w:p>
            <w:pPr>
              <w:spacing w:line="280" w:lineRule="exact"/>
              <w:rPr>
                <w:rFonts w:cs="Arial" w:asciiTheme="minorEastAsia" w:hAnsiTheme="minorEastAsia"/>
                <w:b/>
                <w:bCs/>
                <w:color w:val="E60044"/>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玩有面子：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三大5A搭配双4A景区，赠海景摩天轮，5A海岛蜈支洲</w:t>
            </w:r>
            <w:r>
              <w:rPr>
                <w:rFonts w:hint="eastAsia" w:ascii="宋体" w:hAnsi="宋体" w:cs="Times New Roman"/>
                <w:b w:val="0"/>
                <w:bCs w:val="0"/>
                <w:color w:val="262626" w:themeColor="text1" w:themeTint="D9"/>
                <w:kern w:val="0"/>
                <w:sz w:val="18"/>
                <w:szCs w:val="18"/>
                <w:lang w:eastAsia="zh-CN"/>
                <w14:textFill>
                  <w14:solidFill>
                    <w14:schemeClr w14:val="tx1">
                      <w14:lumMod w14:val="85000"/>
                      <w14:lumOff w14:val="15000"/>
                    </w14:schemeClr>
                  </w14:solidFill>
                </w14:textFill>
              </w:rPr>
              <w:t>（</w:t>
            </w:r>
            <w:r>
              <w:rPr>
                <w:rFonts w:hint="eastAsia"/>
                <w:b w:val="0"/>
                <w:bCs w:val="0"/>
                <w:color w:val="262626" w:themeColor="text1" w:themeTint="D9"/>
                <w:sz w:val="18"/>
                <w:szCs w:val="18"/>
                <w:lang w:eastAsia="zh-CN"/>
                <w14:textFill>
                  <w14:solidFill>
                    <w14:schemeClr w14:val="tx1">
                      <w14:lumMod w14:val="85000"/>
                      <w14:lumOff w14:val="15000"/>
                    </w14:schemeClr>
                  </w14:solidFill>
                </w14:textFill>
              </w:rPr>
              <w:t>快速上下岛通道节约</w:t>
            </w:r>
            <w:r>
              <w:rPr>
                <w:rFonts w:hint="eastAsia"/>
                <w:b w:val="0"/>
                <w:bCs w:val="0"/>
                <w:color w:val="262626" w:themeColor="text1" w:themeTint="D9"/>
                <w:sz w:val="18"/>
                <w:szCs w:val="18"/>
                <w:lang w:val="en-US" w:eastAsia="zh-CN"/>
                <w14:textFill>
                  <w14:solidFill>
                    <w14:schemeClr w14:val="tx1">
                      <w14:lumMod w14:val="85000"/>
                      <w14:lumOff w14:val="15000"/>
                    </w14:schemeClr>
                  </w14:solidFill>
                </w14:textFill>
              </w:rPr>
              <w:t>2小时</w:t>
            </w:r>
            <w:r>
              <w:rPr>
                <w:rFonts w:hint="eastAsia" w:ascii="宋体" w:hAnsi="宋体" w:cs="Times New Roman"/>
                <w:b w:val="0"/>
                <w:bCs w:val="0"/>
                <w:color w:val="262626" w:themeColor="text1" w:themeTint="D9"/>
                <w:kern w:val="0"/>
                <w:sz w:val="18"/>
                <w:szCs w:val="18"/>
                <w:lang w:eastAsia="zh-CN"/>
                <w14:textFill>
                  <w14:solidFill>
                    <w14:schemeClr w14:val="tx1">
                      <w14:lumMod w14:val="85000"/>
                      <w14:lumOff w14:val="15000"/>
                    </w14:schemeClr>
                  </w14:solidFill>
                </w14:textFill>
              </w:rPr>
              <w:t>）</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、5A民俗槟榔谷、5A佛境南山、4A雨林亚龙湾热带天堂森林公园、4A经典天涯海角、HOT新地标三亚国际免税城；每天2个景点，轻松行程深度体验。</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吃有面子：</w:t>
            </w:r>
          </w:p>
          <w:p>
            <w:pPr>
              <w:rPr>
                <w:rFonts w:ascii="宋体" w:hAnsi="宋体" w:cs="Times New Roman"/>
                <w:color w:val="262626" w:themeColor="text1" w:themeTint="D9"/>
                <w:kern w:val="0"/>
                <w:sz w:val="18"/>
                <w:szCs w:val="18"/>
                <w14:textFill>
                  <w14:solidFill>
                    <w14:schemeClr w14:val="tx1">
                      <w14:lumMod w14:val="85000"/>
                      <w14:lumOff w14:val="15000"/>
                    </w14:schemeClr>
                  </w14:solidFill>
                </w14:textFill>
              </w:rPr>
            </w:pP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正餐标30元/人，升级品鉴“蟹鲍海鲜餐1份/人”、“波隆野菜自助餐”、“南山素斋”、各1次</w:t>
            </w:r>
          </w:p>
          <w:p>
            <w:pPr>
              <w:spacing w:line="280" w:lineRule="exact"/>
              <w:rPr>
                <w:rFonts w:cs="Arial" w:asciiTheme="minorEastAsia" w:hAnsiTheme="minorEastAsia"/>
                <w:b/>
                <w:bCs/>
                <w:color w:val="E60044"/>
                <w:szCs w:val="21"/>
              </w:rPr>
            </w:pPr>
          </w:p>
          <w:p>
            <w:pPr>
              <w:spacing w:line="280" w:lineRule="exact"/>
              <w:rPr>
                <w:rFonts w:ascii="Arial" w:hAnsi="Arial" w:cs="Arial"/>
                <w:b/>
                <w:bCs/>
                <w:color w:val="E60044"/>
                <w:szCs w:val="21"/>
              </w:rPr>
            </w:pPr>
            <w:r>
              <w:rPr>
                <w:rFonts w:hint="eastAsia" w:ascii="Arial" w:hAnsi="Arial" w:cs="Arial"/>
                <w:b/>
                <w:bCs/>
                <w:color w:val="E60044"/>
                <w:szCs w:val="21"/>
              </w:rPr>
              <w:t>接待诚诺：</w:t>
            </w:r>
          </w:p>
          <w:p>
            <w:pPr>
              <w:spacing w:line="280" w:lineRule="exact"/>
              <w:rPr>
                <w:rFonts w:ascii="宋体" w:hAnsi="宋体"/>
                <w:sz w:val="20"/>
                <w:szCs w:val="20"/>
              </w:rPr>
            </w:pPr>
            <w:r>
              <w:rPr>
                <w:rFonts w:hint="eastAsia" w:ascii="宋体" w:hAnsi="宋体"/>
                <w:sz w:val="20"/>
                <w:szCs w:val="20"/>
              </w:rPr>
              <w:t>0购物，全程不增加行程外购物点、不更换景点、不压缩游览时间。</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经典赠送：</w:t>
            </w:r>
          </w:p>
          <w:p>
            <w:pPr>
              <w:spacing w:after="156" w:afterLines="50" w:line="280" w:lineRule="exact"/>
              <w:rPr>
                <w:rFonts w:ascii="宋体" w:hAnsi="宋体"/>
                <w:sz w:val="20"/>
                <w:szCs w:val="20"/>
              </w:rPr>
            </w:pPr>
            <w:r>
              <w:rPr>
                <w:rFonts w:hint="eastAsia" w:ascii="宋体" w:hAnsi="宋体"/>
                <w:sz w:val="20"/>
                <w:szCs w:val="20"/>
              </w:rPr>
              <w:t>全程品牌矿泉水1瓶/人/天、旅行社责任险。</w:t>
            </w:r>
          </w:p>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1271" w:hRule="atLeast"/>
          <w:jc w:val="center"/>
        </w:trPr>
        <w:tc>
          <w:tcPr>
            <w:tcW w:w="1863"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78" w:type="dxa"/>
            <w:tcBorders>
              <w:bottom w:val="single" w:color="D0CECE" w:themeColor="background2" w:themeShade="E6" w:sz="4" w:space="0"/>
            </w:tcBorders>
            <w:shd w:val="clear" w:color="auto" w:fill="auto"/>
            <w:vAlign w:val="center"/>
          </w:tcPr>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2673"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三亚</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 xml:space="preserve">三亚国际免税城 </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w:t>
            </w:r>
            <w:r>
              <w:rPr>
                <w:rFonts w:hint="eastAsia"/>
                <w:b/>
                <w:bCs/>
                <w:color w:val="262626" w:themeColor="text1" w:themeTint="D9"/>
                <w:sz w:val="18"/>
                <w:szCs w:val="18"/>
                <w:lang w:eastAsia="zh-CN"/>
                <w14:textFill>
                  <w14:solidFill>
                    <w14:schemeClr w14:val="tx1">
                      <w14:lumMod w14:val="85000"/>
                      <w14:lumOff w14:val="15000"/>
                    </w14:schemeClr>
                  </w14:solidFill>
                </w14:textFill>
              </w:rPr>
              <w:t>快速上下岛通道节约</w:t>
            </w:r>
            <w:r>
              <w:rPr>
                <w:rFonts w:hint="eastAsia"/>
                <w:b/>
                <w:bCs/>
                <w:color w:val="262626" w:themeColor="text1" w:themeTint="D9"/>
                <w:sz w:val="18"/>
                <w:szCs w:val="18"/>
                <w:lang w:val="en-US" w:eastAsia="zh-CN"/>
                <w14:textFill>
                  <w14:solidFill>
                    <w14:schemeClr w14:val="tx1">
                      <w14:lumMod w14:val="85000"/>
                      <w14:lumOff w14:val="15000"/>
                    </w14:schemeClr>
                  </w14:solidFill>
                </w14:textFill>
              </w:rPr>
              <w:t>2小时</w:t>
            </w:r>
            <w:r>
              <w:rPr>
                <w:rFonts w:hint="eastAsia"/>
                <w:b/>
                <w:bCs/>
                <w:color w:val="262626" w:themeColor="text1" w:themeTint="D9"/>
                <w:sz w:val="18"/>
                <w:szCs w:val="18"/>
                <w:lang w:eastAsia="zh-CN"/>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line="280" w:lineRule="exact"/>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spacing w:before="62" w:beforeLines="20" w:after="62" w:afterLines="20" w:line="280" w:lineRule="exact"/>
              <w:rPr>
                <w:sz w:val="18"/>
                <w:szCs w:val="18"/>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449"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 xml:space="preserve">亚龙湾热带天堂森林公园 </w:t>
            </w:r>
            <w:r>
              <w:rPr>
                <w:rFonts w:hint="eastAsia"/>
                <w:b/>
                <w:color w:val="E60044"/>
                <w:sz w:val="18"/>
                <w:szCs w:val="18"/>
              </w:rPr>
              <w:t>—赠海景摩天轮</w:t>
            </w:r>
          </w:p>
          <w:p>
            <w:pPr>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早餐：酒店用餐   中餐：波隆野菜自助   </w:t>
            </w:r>
            <w:r>
              <w:rPr>
                <w:rFonts w:hint="eastAsia"/>
                <w:sz w:val="18"/>
                <w:szCs w:val="18"/>
              </w:rPr>
              <w:t>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017"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62" w:beforeLines="20" w:after="62" w:afterLines="20" w:line="280" w:lineRule="exact"/>
              <w:rPr>
                <w:b/>
                <w:color w:val="E60044"/>
                <w:sz w:val="18"/>
                <w:szCs w:val="18"/>
              </w:rPr>
            </w:pPr>
            <w:r>
              <w:rPr>
                <w:rFonts w:hint="eastAsia"/>
                <w:color w:val="E60044"/>
                <w:sz w:val="18"/>
                <w:szCs w:val="18"/>
              </w:rPr>
              <w:t>景点安排：</w:t>
            </w:r>
            <w:r>
              <w:rPr>
                <w:rFonts w:hint="eastAsia"/>
                <w:b/>
                <w:bCs/>
                <w:color w:val="E60044"/>
                <w:sz w:val="18"/>
                <w:szCs w:val="18"/>
              </w:rPr>
              <w:t>南山佛教文化苑</w:t>
            </w:r>
            <w:r>
              <w:rPr>
                <w:rFonts w:hint="eastAsia"/>
                <w:color w:val="E60044"/>
                <w:sz w:val="18"/>
                <w:szCs w:val="18"/>
              </w:rPr>
              <w:t>—</w:t>
            </w:r>
            <w:r>
              <w:rPr>
                <w:rFonts w:hint="eastAsia"/>
                <w:b/>
                <w:color w:val="E60044"/>
                <w:sz w:val="18"/>
                <w:szCs w:val="18"/>
              </w:rPr>
              <w:t>天涯海角</w:t>
            </w:r>
          </w:p>
          <w:p>
            <w:pPr>
              <w:pStyle w:val="5"/>
              <w:spacing w:before="62" w:beforeLines="20" w:beforeAutospacing="0" w:after="62" w:afterLines="2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62" w:beforeLines="20" w:after="62" w:afterLines="2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sz w:val="18"/>
                <w:szCs w:val="18"/>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70" w:hRule="atLeast"/>
          <w:jc w:val="center"/>
        </w:trPr>
        <w:tc>
          <w:tcPr>
            <w:tcW w:w="1863"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 xml:space="preserve">三亚 </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&gt;&gt; </w:t>
            </w:r>
            <w:r>
              <w:rPr>
                <w:rFonts w:hint="eastAsia" w:hAnsi="宋体"/>
                <w:iCs/>
                <w:color w:val="262626" w:themeColor="text1" w:themeTint="D9"/>
                <w:sz w:val="18"/>
                <w:szCs w:val="18"/>
                <w14:textFill>
                  <w14:solidFill>
                    <w14:schemeClr w14:val="tx1">
                      <w14:lumMod w14:val="85000"/>
                      <w14:lumOff w14:val="15000"/>
                    </w14:schemeClr>
                  </w14:solidFill>
                </w14:textFill>
              </w:rPr>
              <w:t>海口</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74" w:lineRule="exact"/>
              <w:rPr>
                <w:b/>
                <w:bCs/>
                <w:color w:val="E60044"/>
                <w:sz w:val="18"/>
                <w:szCs w:val="18"/>
              </w:rPr>
            </w:pPr>
            <w:r>
              <w:rPr>
                <w:rFonts w:hint="eastAsia"/>
                <w:color w:val="E60044"/>
                <w:sz w:val="18"/>
                <w:szCs w:val="18"/>
              </w:rPr>
              <w:t>景点安排：</w:t>
            </w:r>
            <w:r>
              <w:rPr>
                <w:rFonts w:hint="eastAsia"/>
                <w:b/>
                <w:bCs/>
                <w:color w:val="E60044"/>
                <w:sz w:val="18"/>
                <w:szCs w:val="18"/>
              </w:rPr>
              <w:t>椰田古寨—兴隆热带植物园—观澜湖新城</w:t>
            </w:r>
          </w:p>
          <w:p>
            <w:pPr>
              <w:spacing w:before="31" w:beforeLines="10" w:after="31" w:afterLines="10" w:line="274" w:lineRule="exact"/>
              <w:rPr>
                <w:sz w:val="18"/>
                <w:szCs w:val="18"/>
              </w:rPr>
            </w:pPr>
            <w:r>
              <w:rPr>
                <w:rFonts w:hint="eastAsia"/>
                <w:b/>
                <w:bCs/>
                <w:sz w:val="18"/>
                <w:szCs w:val="18"/>
              </w:rPr>
              <w:t>【椰田古寨】：</w:t>
            </w:r>
            <w:r>
              <w:rPr>
                <w:rFonts w:hint="eastAsia"/>
                <w:sz w:val="18"/>
                <w:szCs w:val="18"/>
              </w:rPr>
              <w:t>（游览时间不少于90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spacing w:before="31" w:beforeLines="10" w:after="31" w:afterLines="10" w:line="274" w:lineRule="exact"/>
              <w:rPr>
                <w:sz w:val="18"/>
                <w:szCs w:val="18"/>
              </w:rPr>
            </w:pPr>
            <w:r>
              <w:rPr>
                <w:rFonts w:hint="eastAsia"/>
                <w:b/>
                <w:bCs/>
                <w:sz w:val="18"/>
                <w:szCs w:val="18"/>
              </w:rPr>
              <w:t>【兴隆热带植物园】：</w:t>
            </w:r>
            <w:r>
              <w:rPr>
                <w:rFonts w:hint="eastAsia"/>
                <w:sz w:val="18"/>
                <w:szCs w:val="18"/>
              </w:rPr>
              <w:t>（游览时间不少于90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spacing w:before="31" w:beforeLines="10" w:after="31" w:afterLines="10" w:line="274" w:lineRule="exact"/>
              <w:rPr>
                <w:color w:val="262626" w:themeColor="text1" w:themeTint="D9"/>
                <w:sz w:val="18"/>
                <w:szCs w:val="18"/>
                <w14:textFill>
                  <w14:solidFill>
                    <w14:schemeClr w14:val="tx1">
                      <w14:lumMod w14:val="85000"/>
                      <w14:lumOff w14:val="15000"/>
                    </w14:schemeClr>
                  </w14:solidFill>
                </w14:textFill>
              </w:rPr>
            </w:pPr>
            <w:r>
              <w:rPr>
                <w:rFonts w:hint="eastAsia"/>
                <w:b/>
                <w:bCs/>
                <w:sz w:val="18"/>
                <w:szCs w:val="18"/>
              </w:rPr>
              <w:t>【观澜湖新城】：</w:t>
            </w:r>
            <w:r>
              <w:rPr>
                <w:rFonts w:hint="eastAsia"/>
                <w:sz w:val="18"/>
                <w:szCs w:val="18"/>
              </w:rPr>
              <w:t>（游览时间不少于30分钟）感受有吃、有玩、有得逛的绿色生态城市综合体。</w:t>
            </w:r>
          </w:p>
          <w:p>
            <w:pPr>
              <w:spacing w:before="62" w:beforeLines="20" w:after="62" w:afterLines="2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before="62" w:beforeLines="20" w:after="62" w:afterLines="20" w:line="280"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57" w:type="dxa"/>
            <w:left w:w="57" w:type="dxa"/>
            <w:bottom w:w="57" w:type="dxa"/>
            <w:right w:w="57" w:type="dxa"/>
          </w:tblCellMar>
        </w:tblPrEx>
        <w:trPr>
          <w:trHeight w:val="1171" w:hRule="atLeast"/>
          <w:jc w:val="center"/>
        </w:trPr>
        <w:tc>
          <w:tcPr>
            <w:tcW w:w="1863"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8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海口</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before="31" w:beforeLines="10" w:after="31" w:afterLines="10" w:line="274" w:lineRule="exact"/>
              <w:rPr>
                <w:sz w:val="18"/>
                <w:szCs w:val="18"/>
                <w:lang w:val="zh-TW"/>
              </w:rPr>
            </w:pPr>
            <w:r>
              <w:rPr>
                <w:rFonts w:hint="eastAsia"/>
                <w:sz w:val="18"/>
                <w:szCs w:val="18"/>
                <w:lang w:val="zh-TW"/>
              </w:rPr>
              <w:t>专人送机，乘机返回温馨家园（酒店退房时间为中午12点前）。</w:t>
            </w:r>
          </w:p>
          <w:p>
            <w:pPr>
              <w:spacing w:before="31" w:beforeLines="10" w:after="31" w:afterLines="10" w:line="27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中餐：自理   晚餐：自理</w:t>
            </w:r>
          </w:p>
          <w:p>
            <w:pPr>
              <w:spacing w:before="31" w:beforeLines="10" w:after="31" w:afterLines="10" w:line="274" w:lineRule="exact"/>
              <w:rPr>
                <w:sz w:val="18"/>
                <w:szCs w:val="18"/>
                <w:lang w:val="zh-TW"/>
              </w:rPr>
            </w:pPr>
          </w:p>
          <w:p>
            <w:pPr>
              <w:spacing w:before="31" w:beforeLines="10" w:after="31" w:afterLines="10" w:line="274" w:lineRule="exact"/>
              <w:rPr>
                <w:color w:val="C00000"/>
                <w:sz w:val="18"/>
                <w:szCs w:val="18"/>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W w:w="11225" w:type="dxa"/>
        <w:jc w:val="center"/>
        <w:tblLayout w:type="fixed"/>
        <w:tblCellMar>
          <w:top w:w="113" w:type="dxa"/>
          <w:left w:w="57" w:type="dxa"/>
          <w:bottom w:w="113" w:type="dxa"/>
          <w:right w:w="57" w:type="dxa"/>
        </w:tblCellMar>
      </w:tblPr>
      <w:tblGrid>
        <w:gridCol w:w="1188"/>
        <w:gridCol w:w="501"/>
        <w:gridCol w:w="9536"/>
      </w:tblGrid>
      <w:tr>
        <w:tblPrEx>
          <w:tblCellMar>
            <w:top w:w="113" w:type="dxa"/>
            <w:left w:w="57" w:type="dxa"/>
            <w:bottom w:w="113" w:type="dxa"/>
            <w:right w:w="57" w:type="dxa"/>
          </w:tblCellMar>
        </w:tblPrEx>
        <w:trPr>
          <w:trHeight w:val="630"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br w:type="page"/>
            </w:r>
            <w:r>
              <w:rPr>
                <w:rFonts w:hint="eastAsia" w:ascii="宋体" w:hAnsi="宋体"/>
                <w:b/>
                <w:color w:val="E60044"/>
                <w:sz w:val="28"/>
                <w:szCs w:val="28"/>
              </w:rPr>
              <w:t xml:space="preserve">费用包含 </w:t>
            </w:r>
          </w:p>
        </w:tc>
      </w:tr>
      <w:tr>
        <w:tblPrEx>
          <w:tblCellMar>
            <w:top w:w="113" w:type="dxa"/>
            <w:left w:w="57" w:type="dxa"/>
            <w:bottom w:w="113" w:type="dxa"/>
            <w:right w:w="57" w:type="dxa"/>
          </w:tblCellMar>
        </w:tblPrEx>
        <w:trPr>
          <w:trHeight w:val="2539" w:hRule="atLeast"/>
          <w:jc w:val="center"/>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sz w:val="20"/>
                <w:szCs w:val="20"/>
              </w:rPr>
              <w:t>入住3晚国际品牌酒店，搭配2晚海口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20"/>
                <w:szCs w:val="20"/>
              </w:rPr>
              <w:t>升级品鉴</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sz w:val="20"/>
                <w:szCs w:val="20"/>
              </w:rPr>
              <w:t>“波隆野菜自助餐”</w:t>
            </w:r>
            <w:r>
              <w:rPr>
                <w:rFonts w:hint="eastAsia"/>
                <w:color w:val="262626" w:themeColor="text1" w:themeTint="D9"/>
                <w:sz w:val="18"/>
                <w:szCs w:val="18"/>
                <w14:textFill>
                  <w14:solidFill>
                    <w14:schemeClr w14:val="tx1">
                      <w14:lumMod w14:val="85000"/>
                      <w14:lumOff w14:val="15000"/>
                    </w14:schemeClr>
                  </w14:solidFill>
                </w14:textFill>
              </w:rPr>
              <w:t>、“南山素斋”各</w:t>
            </w:r>
            <w:r>
              <w:rPr>
                <w:rFonts w:hint="eastAsia" w:ascii="宋体" w:hAnsi="宋体"/>
                <w:sz w:val="20"/>
                <w:szCs w:val="20"/>
              </w:rPr>
              <w:t>1次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452"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酒店说明 </w:t>
            </w:r>
          </w:p>
        </w:tc>
      </w:tr>
      <w:tr>
        <w:tblPrEx>
          <w:tblCellMar>
            <w:top w:w="113" w:type="dxa"/>
            <w:left w:w="57" w:type="dxa"/>
            <w:bottom w:w="113" w:type="dxa"/>
            <w:right w:w="57" w:type="dxa"/>
          </w:tblCellMar>
        </w:tblPrEx>
        <w:trPr>
          <w:trHeight w:val="524"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sz w:val="18"/>
                <w:szCs w:val="18"/>
              </w:rPr>
            </w:pPr>
            <w:r>
              <w:rPr>
                <w:rFonts w:hint="eastAsia"/>
                <w:sz w:val="18"/>
                <w:szCs w:val="18"/>
              </w:rPr>
              <w:t>盛福乐康年、巨制荷泰、维纳斯、绿地Q酒店、美兰机场酒店、新燕泰、诺富特、宝华</w:t>
            </w:r>
          </w:p>
        </w:tc>
      </w:tr>
      <w:tr>
        <w:tblPrEx>
          <w:tblCellMar>
            <w:top w:w="113" w:type="dxa"/>
            <w:left w:w="57" w:type="dxa"/>
            <w:bottom w:w="113" w:type="dxa"/>
            <w:right w:w="57" w:type="dxa"/>
          </w:tblCellMar>
        </w:tblPrEx>
        <w:trPr>
          <w:trHeight w:val="388"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希尔顿花园、洛克铂金、大东海酒店、京海假日、三亚湾假日</w:t>
            </w:r>
          </w:p>
        </w:tc>
      </w:tr>
      <w:tr>
        <w:tblPrEx>
          <w:tblCellMar>
            <w:top w:w="113" w:type="dxa"/>
            <w:left w:w="57" w:type="dxa"/>
            <w:bottom w:w="113" w:type="dxa"/>
            <w:right w:w="57" w:type="dxa"/>
          </w:tblCellMar>
        </w:tblPrEx>
        <w:trPr>
          <w:trHeight w:val="596" w:hRule="atLeast"/>
          <w:jc w:val="center"/>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CellMar>
            <w:top w:w="113" w:type="dxa"/>
            <w:left w:w="57" w:type="dxa"/>
            <w:bottom w:w="113" w:type="dxa"/>
            <w:right w:w="57" w:type="dxa"/>
          </w:tblCellMar>
        </w:tblPrEx>
        <w:trPr>
          <w:trHeight w:val="513" w:hRule="atLeast"/>
          <w:jc w:val="center"/>
        </w:trPr>
        <w:tc>
          <w:tcPr>
            <w:tcW w:w="11225" w:type="dxa"/>
            <w:gridSpan w:val="3"/>
            <w:tcBorders>
              <w:bottom w:val="single" w:color="E60044" w:sz="4" w:space="0"/>
            </w:tcBorders>
            <w:shd w:val="clear" w:color="auto" w:fill="auto"/>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b/>
                <w:color w:val="E60044"/>
                <w:sz w:val="28"/>
                <w:szCs w:val="28"/>
              </w:rPr>
              <w:t xml:space="preserve">餐饮说明 </w:t>
            </w:r>
          </w:p>
        </w:tc>
      </w:tr>
      <w:tr>
        <w:tblPrEx>
          <w:tblCellMar>
            <w:top w:w="113" w:type="dxa"/>
            <w:left w:w="57" w:type="dxa"/>
            <w:bottom w:w="113" w:type="dxa"/>
            <w:right w:w="57" w:type="dxa"/>
          </w:tblCellMar>
        </w:tblPrEx>
        <w:trPr>
          <w:trHeight w:val="1026"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2"/>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sz w:val="20"/>
                <w:szCs w:val="20"/>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CellMar>
            <w:top w:w="113" w:type="dxa"/>
            <w:left w:w="57" w:type="dxa"/>
            <w:bottom w:w="113" w:type="dxa"/>
            <w:right w:w="57" w:type="dxa"/>
          </w:tblCellMar>
        </w:tblPrEx>
        <w:trPr>
          <w:trHeight w:val="724"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tcPr>
          <w:p>
            <w:pPr>
              <w:rPr>
                <w:sz w:val="20"/>
                <w:szCs w:val="20"/>
              </w:rPr>
            </w:pPr>
            <w:r>
              <w:rPr>
                <w:rFonts w:hint="eastAsia"/>
                <w:sz w:val="20"/>
                <w:szCs w:val="20"/>
              </w:rPr>
              <w:t>蟹鲍海鲜餐1份/人</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tcPr>
          <w:p>
            <w:pPr>
              <w:rPr>
                <w:sz w:val="20"/>
                <w:szCs w:val="20"/>
              </w:rPr>
            </w:pPr>
            <w:r>
              <w:rPr>
                <w:rFonts w:hint="eastAsia"/>
                <w:sz w:val="20"/>
                <w:szCs w:val="20"/>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452" w:hRule="atLeast"/>
        </w:trPr>
        <w:tc>
          <w:tcPr>
            <w:tcW w:w="11225" w:type="dxa"/>
            <w:tcBorders>
              <w:top w:val="nil"/>
              <w:left w:val="nil"/>
              <w:bottom w:val="single" w:color="E60044" w:sz="4" w:space="0"/>
              <w:right w:val="nil"/>
            </w:tcBorders>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op w:val="single" w:color="E60044" w:sz="4" w:space="0"/>
              <w:tl2br w:val="nil"/>
              <w:tr2bl w:val="nil"/>
            </w:tcBorders>
            <w:shd w:val="clear" w:color="auto" w:fill="auto"/>
          </w:tcPr>
          <w:tbl>
            <w:tblPr>
              <w:tblStyle w:val="6"/>
              <w:tblpPr w:leftFromText="180" w:rightFromText="180" w:vertAnchor="text" w:horzAnchor="page" w:tblpX="415" w:tblpY="93"/>
              <w:tblOverlap w:val="never"/>
              <w:tblW w:w="224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0"/>
              <w:gridCol w:w="1122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c>
                <w:tcPr>
                  <w:tcW w:w="11220" w:type="dxa"/>
                  <w:tcBorders>
                    <w:top w:val="single" w:color="FFFFFF" w:sz="4" w:space="0"/>
                    <w:left w:val="single" w:color="FFFFFF" w:sz="4" w:space="0"/>
                    <w:bottom w:val="single" w:color="FFFFFF" w:sz="4" w:space="0"/>
                    <w:right w:val="single" w:color="FFFFFF" w:sz="4" w:space="0"/>
                  </w:tcBorders>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旅游者对车辆及司机服务有投诉请直接向海南旅游车统一调度中心进行投诉，电话：0898-66833159。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 xml:space="preserve">6、如遇人力不可抗拒因素（台风、暴雨、检修等）或政策性调整（博鳌亚洲论坛会议期间、全国性娱乐停演等）导致无法游览的景点和项目，我社有权取消或更换为其它等价景点或项目【如：蜈支洲换为天堂森林公园或呀诺达+雨林养生餐】,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 </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w:t>
                  </w:r>
                  <w:r>
                    <w:rPr>
                      <w:sz w:val="18"/>
                      <w:szCs w:val="21"/>
                    </w:rPr>
                    <w:t>0</w:t>
                  </w:r>
                  <w:r>
                    <w:rPr>
                      <w:rFonts w:hint="eastAsia"/>
                      <w:sz w:val="18"/>
                      <w:szCs w:val="21"/>
                    </w:rPr>
                    <w:t>购物</w:t>
                  </w:r>
                  <w:r>
                    <w:rPr>
                      <w:rFonts w:hint="eastAsia" w:asciiTheme="minorEastAsia" w:hAnsiTheme="minorEastAsia" w:cstheme="minorEastAsia"/>
                      <w:sz w:val="18"/>
                      <w:szCs w:val="21"/>
                    </w:rPr>
                    <w:t>”解释：我社郑重承诺本线路全程绝不包含及另行增加任何官方或非官方购物店，游客如有购物需求，敬请自行前往；不适用于游客自行自愿所选择的：海上自愿娱乐项目、景区内交通工具及特色演出（千古情演出300元/人，槟榔古韵演出175元/人，实际价格请以运营商公布为准）；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spacing w:before="62" w:beforeLines="20" w:after="62" w:afterLines="20"/>
              <w:ind w:left="315" w:hanging="315"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0911"/>
    <w:rsid w:val="0001212C"/>
    <w:rsid w:val="00023D51"/>
    <w:rsid w:val="0002697C"/>
    <w:rsid w:val="0002791C"/>
    <w:rsid w:val="00032B26"/>
    <w:rsid w:val="00044851"/>
    <w:rsid w:val="00045B4E"/>
    <w:rsid w:val="000C053C"/>
    <w:rsid w:val="000D3503"/>
    <w:rsid w:val="00110FC1"/>
    <w:rsid w:val="00173EDF"/>
    <w:rsid w:val="001A5209"/>
    <w:rsid w:val="00242709"/>
    <w:rsid w:val="00246C49"/>
    <w:rsid w:val="00277009"/>
    <w:rsid w:val="002950DF"/>
    <w:rsid w:val="002C7E43"/>
    <w:rsid w:val="002D33D6"/>
    <w:rsid w:val="002D4A1C"/>
    <w:rsid w:val="00324018"/>
    <w:rsid w:val="00324C8A"/>
    <w:rsid w:val="003262BC"/>
    <w:rsid w:val="003458D1"/>
    <w:rsid w:val="00361588"/>
    <w:rsid w:val="00362654"/>
    <w:rsid w:val="004242E7"/>
    <w:rsid w:val="00445EAD"/>
    <w:rsid w:val="0044787C"/>
    <w:rsid w:val="004618B0"/>
    <w:rsid w:val="00473CE0"/>
    <w:rsid w:val="0048181A"/>
    <w:rsid w:val="00483E92"/>
    <w:rsid w:val="004D5F2B"/>
    <w:rsid w:val="004E345E"/>
    <w:rsid w:val="004F6A01"/>
    <w:rsid w:val="00501410"/>
    <w:rsid w:val="005632FF"/>
    <w:rsid w:val="0057650D"/>
    <w:rsid w:val="005771EE"/>
    <w:rsid w:val="005805A8"/>
    <w:rsid w:val="00585765"/>
    <w:rsid w:val="005C1F21"/>
    <w:rsid w:val="005C279A"/>
    <w:rsid w:val="005F2D9E"/>
    <w:rsid w:val="00606487"/>
    <w:rsid w:val="00607267"/>
    <w:rsid w:val="00615F52"/>
    <w:rsid w:val="00616EC2"/>
    <w:rsid w:val="00661CE0"/>
    <w:rsid w:val="006D7CC8"/>
    <w:rsid w:val="00737A64"/>
    <w:rsid w:val="00742768"/>
    <w:rsid w:val="00744644"/>
    <w:rsid w:val="007605D7"/>
    <w:rsid w:val="00780BF5"/>
    <w:rsid w:val="0079197B"/>
    <w:rsid w:val="007F3433"/>
    <w:rsid w:val="00830628"/>
    <w:rsid w:val="00843728"/>
    <w:rsid w:val="00850769"/>
    <w:rsid w:val="00882164"/>
    <w:rsid w:val="008C2FE6"/>
    <w:rsid w:val="008D5581"/>
    <w:rsid w:val="008E6AF7"/>
    <w:rsid w:val="00973AEF"/>
    <w:rsid w:val="00984B67"/>
    <w:rsid w:val="00984B7D"/>
    <w:rsid w:val="009861CB"/>
    <w:rsid w:val="009C4069"/>
    <w:rsid w:val="009E6EBD"/>
    <w:rsid w:val="009F1E19"/>
    <w:rsid w:val="00A218DE"/>
    <w:rsid w:val="00A81FF9"/>
    <w:rsid w:val="00A94C8B"/>
    <w:rsid w:val="00AA7376"/>
    <w:rsid w:val="00AD6B9D"/>
    <w:rsid w:val="00AE4A1B"/>
    <w:rsid w:val="00AE5246"/>
    <w:rsid w:val="00AF1059"/>
    <w:rsid w:val="00B17786"/>
    <w:rsid w:val="00B30C1E"/>
    <w:rsid w:val="00B33751"/>
    <w:rsid w:val="00B443B2"/>
    <w:rsid w:val="00B55630"/>
    <w:rsid w:val="00B64F0F"/>
    <w:rsid w:val="00BA67C4"/>
    <w:rsid w:val="00BF0D67"/>
    <w:rsid w:val="00C24052"/>
    <w:rsid w:val="00CA111A"/>
    <w:rsid w:val="00D0105F"/>
    <w:rsid w:val="00D02D09"/>
    <w:rsid w:val="00D35B14"/>
    <w:rsid w:val="00D4390B"/>
    <w:rsid w:val="00D623C1"/>
    <w:rsid w:val="00D66AE6"/>
    <w:rsid w:val="00DA1DB7"/>
    <w:rsid w:val="00DB31E6"/>
    <w:rsid w:val="00DF5895"/>
    <w:rsid w:val="00E16440"/>
    <w:rsid w:val="00E53404"/>
    <w:rsid w:val="00E627C6"/>
    <w:rsid w:val="00E63A30"/>
    <w:rsid w:val="00E804FA"/>
    <w:rsid w:val="00ED2584"/>
    <w:rsid w:val="00F06DE7"/>
    <w:rsid w:val="00F1086C"/>
    <w:rsid w:val="00F10CB4"/>
    <w:rsid w:val="00F2775E"/>
    <w:rsid w:val="00F42E12"/>
    <w:rsid w:val="00F46225"/>
    <w:rsid w:val="00F579EB"/>
    <w:rsid w:val="00FA3B86"/>
    <w:rsid w:val="00FC2B92"/>
    <w:rsid w:val="01786AC3"/>
    <w:rsid w:val="02E8169C"/>
    <w:rsid w:val="05EA05B9"/>
    <w:rsid w:val="060B3707"/>
    <w:rsid w:val="07EB79D6"/>
    <w:rsid w:val="09956601"/>
    <w:rsid w:val="0A4C6366"/>
    <w:rsid w:val="0B952A4F"/>
    <w:rsid w:val="0BA115A6"/>
    <w:rsid w:val="0D6367E4"/>
    <w:rsid w:val="14DD2A45"/>
    <w:rsid w:val="150A19EE"/>
    <w:rsid w:val="176554E0"/>
    <w:rsid w:val="17784F52"/>
    <w:rsid w:val="17C82FF6"/>
    <w:rsid w:val="18863276"/>
    <w:rsid w:val="19B36C68"/>
    <w:rsid w:val="1C627327"/>
    <w:rsid w:val="22046744"/>
    <w:rsid w:val="221456E5"/>
    <w:rsid w:val="2436699F"/>
    <w:rsid w:val="258955DB"/>
    <w:rsid w:val="29D65DDA"/>
    <w:rsid w:val="2B4262A0"/>
    <w:rsid w:val="2B430BAE"/>
    <w:rsid w:val="2BE222CE"/>
    <w:rsid w:val="2D0D48B7"/>
    <w:rsid w:val="2D5124B4"/>
    <w:rsid w:val="30DB5145"/>
    <w:rsid w:val="31015BBD"/>
    <w:rsid w:val="31D36F29"/>
    <w:rsid w:val="31F9170C"/>
    <w:rsid w:val="321B2240"/>
    <w:rsid w:val="327971CA"/>
    <w:rsid w:val="34D92E2C"/>
    <w:rsid w:val="382D7C37"/>
    <w:rsid w:val="39B73441"/>
    <w:rsid w:val="39E40528"/>
    <w:rsid w:val="3A505AAF"/>
    <w:rsid w:val="3A6401D0"/>
    <w:rsid w:val="3B604E2B"/>
    <w:rsid w:val="3F0E104E"/>
    <w:rsid w:val="3F7D0C4F"/>
    <w:rsid w:val="40920211"/>
    <w:rsid w:val="44AC71E3"/>
    <w:rsid w:val="455005EE"/>
    <w:rsid w:val="459D00E8"/>
    <w:rsid w:val="4D0C0565"/>
    <w:rsid w:val="4D890873"/>
    <w:rsid w:val="4ECC72E7"/>
    <w:rsid w:val="511D4FF2"/>
    <w:rsid w:val="51FB000A"/>
    <w:rsid w:val="52236754"/>
    <w:rsid w:val="544D468F"/>
    <w:rsid w:val="55A47791"/>
    <w:rsid w:val="58451BBE"/>
    <w:rsid w:val="5A3E454D"/>
    <w:rsid w:val="5AEB4ACB"/>
    <w:rsid w:val="5CF4716A"/>
    <w:rsid w:val="5D1B22F7"/>
    <w:rsid w:val="60AB3B68"/>
    <w:rsid w:val="61A902A4"/>
    <w:rsid w:val="64BD2ACA"/>
    <w:rsid w:val="66D33328"/>
    <w:rsid w:val="687B7117"/>
    <w:rsid w:val="690C064F"/>
    <w:rsid w:val="69534E8F"/>
    <w:rsid w:val="6B180247"/>
    <w:rsid w:val="6D301E87"/>
    <w:rsid w:val="6F6E2C29"/>
    <w:rsid w:val="6FFC6A05"/>
    <w:rsid w:val="701E7300"/>
    <w:rsid w:val="71FF0EAE"/>
    <w:rsid w:val="738E2FE7"/>
    <w:rsid w:val="73A7096F"/>
    <w:rsid w:val="740C1D6B"/>
    <w:rsid w:val="74535614"/>
    <w:rsid w:val="760072F8"/>
    <w:rsid w:val="76865A7E"/>
    <w:rsid w:val="778B1DFE"/>
    <w:rsid w:val="798B285C"/>
    <w:rsid w:val="7A215CB8"/>
    <w:rsid w:val="7C100E4F"/>
    <w:rsid w:val="7E140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1159</Words>
  <Characters>6609</Characters>
  <Lines>55</Lines>
  <Paragraphs>15</Paragraphs>
  <TotalTime>3</TotalTime>
  <ScaleCrop>false</ScaleCrop>
  <LinksUpToDate>false</LinksUpToDate>
  <CharactersWithSpaces>7753</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2019-11-15T08:24:59Z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