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pPr>
        <w:rPr>
          <w:rFonts w:hint="eastAsia" w:eastAsiaTheme="minorEastAsia"/>
          <w:lang w:eastAsia="zh-CN"/>
        </w:rPr>
      </w:pPr>
      <w:r>
        <w:rPr>
          <w:rFonts w:hint="eastAsia" w:eastAsiaTheme="minorEastAsia"/>
          <w:lang w:eastAsia="zh-CN"/>
        </w:rPr>
        <w:drawing>
          <wp:anchor distT="0" distB="0" distL="114300" distR="114300" simplePos="0" relativeHeight="251682816" behindDoc="1" locked="0" layoutInCell="1" allowOverlap="1">
            <wp:simplePos x="0" y="0"/>
            <wp:positionH relativeFrom="column">
              <wp:posOffset>-219075</wp:posOffset>
            </wp:positionH>
            <wp:positionV relativeFrom="paragraph">
              <wp:posOffset>-219075</wp:posOffset>
            </wp:positionV>
            <wp:extent cx="7574280" cy="10711815"/>
            <wp:effectExtent l="0" t="0" r="7620" b="13335"/>
            <wp:wrapNone/>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7574280" cy="10711815"/>
                    </a:xfrm>
                    <a:prstGeom prst="rect">
                      <a:avLst/>
                    </a:prstGeom>
                  </pic:spPr>
                </pic:pic>
              </a:graphicData>
            </a:graphic>
          </wp:anchor>
        </w:drawing>
      </w:r>
      <w:r>
        <w:br w:type="page"/>
      </w:r>
    </w:p>
    <w:p>
      <w:r>
        <w:drawing>
          <wp:anchor distT="0" distB="0" distL="114300" distR="114300" simplePos="0" relativeHeight="251679744" behindDoc="0" locked="0" layoutInCell="1" allowOverlap="1">
            <wp:simplePos x="0" y="0"/>
            <wp:positionH relativeFrom="column">
              <wp:posOffset>-214630</wp:posOffset>
            </wp:positionH>
            <wp:positionV relativeFrom="paragraph">
              <wp:posOffset>-215900</wp:posOffset>
            </wp:positionV>
            <wp:extent cx="7553960" cy="10685780"/>
            <wp:effectExtent l="0" t="0" r="8890" b="127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60" cy="1068578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br w:type="page"/>
            </w: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8"/>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w:t>
            </w:r>
            <w:r>
              <w:rPr>
                <w:rFonts w:hint="eastAsia" w:ascii="微软雅黑" w:hAnsi="微软雅黑" w:eastAsia="微软雅黑"/>
                <w:b/>
                <w:iCs/>
                <w:color w:val="FFFFFF" w:themeColor="background1"/>
                <w:sz w:val="36"/>
                <w:lang w:val="en-US" w:eastAsia="zh-CN"/>
                <w14:textFill>
                  <w14:solidFill>
                    <w14:schemeClr w14:val="bg1"/>
                  </w14:solidFill>
                </w14:textFill>
              </w:rPr>
              <w:t>海韵</w:t>
            </w:r>
            <w:r>
              <w:rPr>
                <w:rFonts w:hint="eastAsia" w:ascii="微软雅黑" w:hAnsi="微软雅黑" w:eastAsia="微软雅黑"/>
                <w:b/>
                <w:iCs/>
                <w:color w:val="FFFFFF" w:themeColor="background1"/>
                <w:sz w:val="36"/>
                <w14:textFill>
                  <w14:solidFill>
                    <w14:schemeClr w14:val="bg1"/>
                  </w14:solidFill>
                </w14:textFill>
              </w:rPr>
              <w:t>版）·海南游</w:t>
            </w:r>
          </w:p>
        </w:tc>
      </w:tr>
      <w:tr>
        <w:tblPrEx>
          <w:tblLayout w:type="fixed"/>
          <w:tblCellMar>
            <w:top w:w="57" w:type="dxa"/>
            <w:left w:w="57" w:type="dxa"/>
            <w:bottom w:w="57" w:type="dxa"/>
            <w:right w:w="57" w:type="dxa"/>
          </w:tblCellMar>
        </w:tblPrEx>
        <w:trPr>
          <w:trHeight w:val="446"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全程连住三亚海韵度假酒店，沙滩漫步；</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asciiTheme="minorEastAsia" w:hAnsiTheme="minorEastAsia"/>
                <w:sz w:val="18"/>
                <w:szCs w:val="18"/>
              </w:rPr>
            </w:pPr>
            <w:r>
              <w:rPr>
                <w:rFonts w:hint="eastAsia" w:asciiTheme="minorEastAsia" w:hAnsiTheme="minorEastAsia"/>
                <w:sz w:val="18"/>
                <w:szCs w:val="18"/>
              </w:rPr>
              <w:t>全程品牌矿泉水1瓶/人/天，旅行社责任险；</w:t>
            </w:r>
          </w:p>
          <w:p>
            <w:pPr>
              <w:rPr>
                <w:rFonts w:asciiTheme="minorEastAsia" w:hAnsiTheme="minorEastAsia"/>
                <w:sz w:val="18"/>
                <w:szCs w:val="18"/>
              </w:rPr>
            </w:pPr>
          </w:p>
        </w:tc>
      </w:tr>
      <w:tr>
        <w:tblPrEx>
          <w:tblLayout w:type="fixed"/>
          <w:tblCellMar>
            <w:top w:w="57" w:type="dxa"/>
            <w:left w:w="57" w:type="dxa"/>
            <w:bottom w:w="57" w:type="dxa"/>
            <w:right w:w="57" w:type="dxa"/>
          </w:tblCellMar>
        </w:tblPrEx>
        <w:trPr>
          <w:trHeight w:val="1193" w:hRule="atLeast"/>
          <w:jc w:val="center"/>
        </w:trPr>
        <w:tc>
          <w:tcPr>
            <w:tcW w:w="1863"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w:t>
            </w:r>
            <w:r>
              <w:rPr>
                <w:rFonts w:hint="eastAsia" w:asciiTheme="minorEastAsia" w:hAnsiTheme="minorEastAsia"/>
                <w:kern w:val="0"/>
                <w:sz w:val="18"/>
                <w:szCs w:val="18"/>
              </w:rPr>
              <w:t>，</w:t>
            </w:r>
            <w:r>
              <w:rPr>
                <w:rFonts w:hint="eastAsia" w:ascii="宋体" w:hAnsi="宋体"/>
                <w:color w:val="262626" w:themeColor="text1" w:themeTint="D9"/>
                <w:sz w:val="18"/>
                <w:szCs w:val="18"/>
                <w14:textFill>
                  <w14:solidFill>
                    <w14:schemeClr w14:val="tx1">
                      <w14:lumMod w14:val="85000"/>
                      <w14:lumOff w14:val="15000"/>
                    </w14:schemeClr>
                  </w14:solidFill>
                </w14:textFill>
              </w:rPr>
              <w:t>沿途欣赏海岛美景，回酒店休息，期待明天的精彩旅程。</w:t>
            </w:r>
          </w:p>
          <w:p>
            <w:pPr>
              <w:spacing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line="32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501"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5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line="25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line="250" w:lineRule="exact"/>
              <w:rPr>
                <w:sz w:val="18"/>
                <w:szCs w:val="18"/>
              </w:rPr>
            </w:pPr>
            <w:r>
              <w:rPr>
                <w:rFonts w:hint="eastAsia" w:ascii="宋体" w:hAnsi="宋体"/>
                <w:color w:val="E60044"/>
                <w:sz w:val="18"/>
                <w:szCs w:val="18"/>
              </w:rPr>
              <w:t>住宿安排：</w:t>
            </w:r>
            <w:r>
              <w:rPr>
                <w:rFonts w:hint="eastAsia"/>
                <w:sz w:val="18"/>
                <w:szCs w:val="18"/>
              </w:rPr>
              <w:t>指定酒店</w:t>
            </w:r>
          </w:p>
          <w:p>
            <w:pPr>
              <w:spacing w:line="25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58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spacing w:line="260" w:lineRule="exac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spacing w:line="26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77"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line="260" w:lineRule="exact"/>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line="280" w:lineRule="exact"/>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spacing w:line="260" w:lineRule="exact"/>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line="250" w:lineRule="exact"/>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spacing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0CECE" w:themeColor="background2" w:themeShade="E6" w:sz="4" w:space="0"/>
            </w:tcBorders>
            <w:shd w:val="clear" w:color="auto" w:fill="auto"/>
            <w:vAlign w:val="center"/>
          </w:tcPr>
          <w:p>
            <w:pPr>
              <w:spacing w:after="62" w:afterLines="20" w:line="240" w:lineRule="exact"/>
              <w:rPr>
                <w:color w:val="E60044"/>
                <w:sz w:val="18"/>
                <w:szCs w:val="18"/>
                <w:lang w:val="zh-TW" w:eastAsia="zh-TW"/>
              </w:rPr>
            </w:pPr>
            <w:r>
              <w:rPr>
                <w:rFonts w:hint="eastAsia"/>
                <w:color w:val="E60044"/>
                <w:sz w:val="18"/>
                <w:szCs w:val="18"/>
              </w:rPr>
              <w:t>景点安排：</w:t>
            </w:r>
            <w:r>
              <w:rPr>
                <w:rFonts w:hint="eastAsia"/>
                <w:b/>
                <w:bCs/>
                <w:color w:val="E60044"/>
                <w:sz w:val="18"/>
                <w:szCs w:val="18"/>
              </w:rPr>
              <w:t>赠送三亚国际免税城（仅限</w:t>
            </w:r>
            <w:r>
              <w:rPr>
                <w:b/>
                <w:bCs/>
                <w:color w:val="E60044"/>
                <w:sz w:val="18"/>
                <w:szCs w:val="18"/>
              </w:rPr>
              <w:t>17:30</w:t>
            </w:r>
            <w:r>
              <w:rPr>
                <w:rFonts w:hint="eastAsia"/>
                <w:b/>
                <w:bCs/>
                <w:color w:val="E60044"/>
                <w:sz w:val="18"/>
                <w:szCs w:val="18"/>
              </w:rPr>
              <w:t>后航班）</w:t>
            </w:r>
          </w:p>
          <w:p>
            <w:pPr>
              <w:spacing w:after="62" w:afterLines="20" w:line="240" w:lineRule="exact"/>
              <w:rPr>
                <w:sz w:val="18"/>
                <w:szCs w:val="18"/>
                <w:lang w:val="zh-TW" w:eastAsia="zh-TW"/>
              </w:rPr>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分钟，赠送游览，仅限</w:t>
            </w:r>
            <w:r>
              <w:rPr>
                <w:color w:val="262626" w:themeColor="text1" w:themeTint="D9"/>
                <w:sz w:val="18"/>
                <w:szCs w:val="18"/>
                <w14:textFill>
                  <w14:solidFill>
                    <w14:schemeClr w14:val="tx1">
                      <w14:lumMod w14:val="85000"/>
                      <w14:lumOff w14:val="15000"/>
                    </w14:schemeClr>
                  </w14:solidFill>
                </w14:textFill>
              </w:rPr>
              <w:t>17:30</w:t>
            </w:r>
            <w:r>
              <w:rPr>
                <w:rFonts w:hint="eastAsia"/>
                <w:color w:val="262626" w:themeColor="text1" w:themeTint="D9"/>
                <w:sz w:val="18"/>
                <w:szCs w:val="18"/>
                <w14:textFill>
                  <w14:solidFill>
                    <w14:schemeClr w14:val="tx1">
                      <w14:lumMod w14:val="85000"/>
                      <w14:lumOff w14:val="15000"/>
                    </w14:schemeClr>
                  </w14:solidFill>
                </w14:textFill>
              </w:rPr>
              <w:t>后航班）</w:t>
            </w:r>
            <w:r>
              <w:rPr>
                <w:rFonts w:hint="eastAsia"/>
                <w:sz w:val="18"/>
                <w:szCs w:val="18"/>
                <w:lang w:val="zh-TW"/>
              </w:rPr>
              <w:t>作为三亚新地标，聚集了香奈儿、兰蔻、阿玛尼等国际名品和丰盛美食，可充分享受国际旅游岛离岛免税政策带来的极大实惠与便利。</w:t>
            </w:r>
          </w:p>
          <w:p>
            <w:pPr>
              <w:rPr>
                <w:rFonts w:asciiTheme="minorEastAsia" w:hAnsiTheme="minorEastAsia"/>
                <w:sz w:val="18"/>
                <w:szCs w:val="18"/>
              </w:rPr>
            </w:pPr>
            <w:bookmarkStart w:id="0" w:name="_GoBack"/>
            <w:bookmarkEnd w:id="0"/>
            <w:r>
              <w:rPr>
                <w:rFonts w:hint="eastAsia"/>
                <w:sz w:val="18"/>
                <w:szCs w:val="18"/>
                <w:lang w:val="zh-TW"/>
              </w:rPr>
              <w:t>乘机返回温馨家园（酒店退房时间为中午12点前）。</w:t>
            </w:r>
          </w:p>
          <w:p>
            <w:pPr>
              <w:rPr>
                <w:rFonts w:hint="eastAsia"/>
                <w:sz w:val="18"/>
                <w:szCs w:val="18"/>
                <w:lang w:val="zh-TW"/>
              </w:rPr>
            </w:pPr>
            <w:r>
              <w:rPr>
                <w:rFonts w:hint="eastAsia"/>
                <w:color w:val="C00000"/>
                <w:sz w:val="18"/>
                <w:szCs w:val="18"/>
                <w:lang w:val="zh-TW"/>
              </w:rPr>
              <w:t>餐饮安排：</w:t>
            </w:r>
            <w:r>
              <w:rPr>
                <w:rFonts w:hint="eastAsia"/>
                <w:sz w:val="18"/>
                <w:szCs w:val="18"/>
                <w:lang w:val="zh-TW"/>
              </w:rPr>
              <w:t>早餐：酒店用餐</w:t>
            </w:r>
            <w:r>
              <w:rPr>
                <w:sz w:val="18"/>
                <w:szCs w:val="18"/>
                <w:lang w:val="zh-TW"/>
              </w:rPr>
              <w:t xml:space="preserve">   </w:t>
            </w:r>
            <w:r>
              <w:rPr>
                <w:rFonts w:hint="eastAsia"/>
                <w:sz w:val="18"/>
                <w:szCs w:val="18"/>
                <w:lang w:val="zh-TW"/>
              </w:rPr>
              <w:t>中餐：自理</w:t>
            </w:r>
            <w:r>
              <w:rPr>
                <w:sz w:val="18"/>
                <w:szCs w:val="18"/>
                <w:lang w:val="zh-TW"/>
              </w:rPr>
              <w:t xml:space="preserve">   </w:t>
            </w:r>
            <w:r>
              <w:rPr>
                <w:rFonts w:hint="eastAsia"/>
                <w:sz w:val="18"/>
                <w:szCs w:val="18"/>
                <w:lang w:val="zh-TW"/>
              </w:rPr>
              <w:t>晚餐：自理</w:t>
            </w:r>
          </w:p>
          <w:p>
            <w:pPr>
              <w:spacing w:line="280" w:lineRule="exact"/>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270"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38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三亚一地，全程连住三亚海韵度假酒店；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4</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213"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175"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海韵、洛克铂金、希尔顿花园，大东海酒店、三亚湾假日</w:t>
            </w:r>
          </w:p>
        </w:tc>
      </w:tr>
      <w:tr>
        <w:tblPrEx>
          <w:tblLayout w:type="fixed"/>
          <w:tblCellMar>
            <w:top w:w="113" w:type="dxa"/>
            <w:left w:w="57" w:type="dxa"/>
            <w:bottom w:w="113" w:type="dxa"/>
            <w:right w:w="57" w:type="dxa"/>
          </w:tblCellMar>
        </w:tblPrEx>
        <w:trPr>
          <w:trHeight w:val="59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0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063A6"/>
    <w:rsid w:val="0001212C"/>
    <w:rsid w:val="000136A2"/>
    <w:rsid w:val="00023C3B"/>
    <w:rsid w:val="000912D2"/>
    <w:rsid w:val="000D4D56"/>
    <w:rsid w:val="000E0E0E"/>
    <w:rsid w:val="00161232"/>
    <w:rsid w:val="00172F29"/>
    <w:rsid w:val="0017458C"/>
    <w:rsid w:val="001836B3"/>
    <w:rsid w:val="001848FA"/>
    <w:rsid w:val="001862AA"/>
    <w:rsid w:val="001A5209"/>
    <w:rsid w:val="001B3ADC"/>
    <w:rsid w:val="001E0F57"/>
    <w:rsid w:val="00213316"/>
    <w:rsid w:val="0025225E"/>
    <w:rsid w:val="002950DF"/>
    <w:rsid w:val="002D60CC"/>
    <w:rsid w:val="00310CC0"/>
    <w:rsid w:val="00314796"/>
    <w:rsid w:val="0032258A"/>
    <w:rsid w:val="00324C8A"/>
    <w:rsid w:val="00325010"/>
    <w:rsid w:val="003B7A63"/>
    <w:rsid w:val="003C16C9"/>
    <w:rsid w:val="003E4DE4"/>
    <w:rsid w:val="00473CE0"/>
    <w:rsid w:val="00474B5E"/>
    <w:rsid w:val="004B705B"/>
    <w:rsid w:val="00511B5A"/>
    <w:rsid w:val="00517CEA"/>
    <w:rsid w:val="00534DD7"/>
    <w:rsid w:val="0053504E"/>
    <w:rsid w:val="00555000"/>
    <w:rsid w:val="005805A8"/>
    <w:rsid w:val="005C437F"/>
    <w:rsid w:val="005E13B5"/>
    <w:rsid w:val="005E19DF"/>
    <w:rsid w:val="005E7C00"/>
    <w:rsid w:val="005E7F9C"/>
    <w:rsid w:val="00607267"/>
    <w:rsid w:val="00615F52"/>
    <w:rsid w:val="00645DC4"/>
    <w:rsid w:val="006A7574"/>
    <w:rsid w:val="006C388D"/>
    <w:rsid w:val="007605D7"/>
    <w:rsid w:val="00780BF5"/>
    <w:rsid w:val="007D41E1"/>
    <w:rsid w:val="007F6BD4"/>
    <w:rsid w:val="0084574A"/>
    <w:rsid w:val="00845D39"/>
    <w:rsid w:val="00850BF9"/>
    <w:rsid w:val="00871216"/>
    <w:rsid w:val="008743B4"/>
    <w:rsid w:val="00886D0B"/>
    <w:rsid w:val="00890E94"/>
    <w:rsid w:val="00893634"/>
    <w:rsid w:val="008A2A46"/>
    <w:rsid w:val="008C2FE6"/>
    <w:rsid w:val="008F3246"/>
    <w:rsid w:val="00965DDE"/>
    <w:rsid w:val="00984B67"/>
    <w:rsid w:val="009B433C"/>
    <w:rsid w:val="009C0BCC"/>
    <w:rsid w:val="00A10875"/>
    <w:rsid w:val="00A16405"/>
    <w:rsid w:val="00A175FB"/>
    <w:rsid w:val="00A31101"/>
    <w:rsid w:val="00A45BFB"/>
    <w:rsid w:val="00A56508"/>
    <w:rsid w:val="00A9319F"/>
    <w:rsid w:val="00AB06F8"/>
    <w:rsid w:val="00AB411B"/>
    <w:rsid w:val="00AB4229"/>
    <w:rsid w:val="00AC4005"/>
    <w:rsid w:val="00B30C1E"/>
    <w:rsid w:val="00B419CC"/>
    <w:rsid w:val="00B55630"/>
    <w:rsid w:val="00BE52AA"/>
    <w:rsid w:val="00BF0D67"/>
    <w:rsid w:val="00BF20EE"/>
    <w:rsid w:val="00BF6553"/>
    <w:rsid w:val="00C24052"/>
    <w:rsid w:val="00C63A98"/>
    <w:rsid w:val="00CC46AA"/>
    <w:rsid w:val="00CE7536"/>
    <w:rsid w:val="00D01D2B"/>
    <w:rsid w:val="00D11F44"/>
    <w:rsid w:val="00D22FF6"/>
    <w:rsid w:val="00D43E3F"/>
    <w:rsid w:val="00D511FC"/>
    <w:rsid w:val="00D5397C"/>
    <w:rsid w:val="00D67FA3"/>
    <w:rsid w:val="00D76043"/>
    <w:rsid w:val="00DC2108"/>
    <w:rsid w:val="00DC2BCD"/>
    <w:rsid w:val="00DE32ED"/>
    <w:rsid w:val="00DF5895"/>
    <w:rsid w:val="00E129DB"/>
    <w:rsid w:val="00E16440"/>
    <w:rsid w:val="00E24038"/>
    <w:rsid w:val="00E50563"/>
    <w:rsid w:val="00E627C6"/>
    <w:rsid w:val="00E84C75"/>
    <w:rsid w:val="00EB305D"/>
    <w:rsid w:val="00EC356B"/>
    <w:rsid w:val="00F03C93"/>
    <w:rsid w:val="00F06DE7"/>
    <w:rsid w:val="00F10CB4"/>
    <w:rsid w:val="00F16741"/>
    <w:rsid w:val="00F20973"/>
    <w:rsid w:val="00F46AD1"/>
    <w:rsid w:val="00F54BD5"/>
    <w:rsid w:val="00F65AC9"/>
    <w:rsid w:val="00F72194"/>
    <w:rsid w:val="00F932C2"/>
    <w:rsid w:val="00F96DBD"/>
    <w:rsid w:val="00FC002F"/>
    <w:rsid w:val="00FE3D9A"/>
    <w:rsid w:val="00FE4E8E"/>
    <w:rsid w:val="00FF32F6"/>
    <w:rsid w:val="00FF61F8"/>
    <w:rsid w:val="01786AC3"/>
    <w:rsid w:val="02E8169C"/>
    <w:rsid w:val="037064A6"/>
    <w:rsid w:val="05EA05B9"/>
    <w:rsid w:val="060B3707"/>
    <w:rsid w:val="07EB79D6"/>
    <w:rsid w:val="08A73B07"/>
    <w:rsid w:val="09956601"/>
    <w:rsid w:val="0B952A4F"/>
    <w:rsid w:val="0BA115A6"/>
    <w:rsid w:val="0D6367E4"/>
    <w:rsid w:val="10601B8A"/>
    <w:rsid w:val="14DD2A45"/>
    <w:rsid w:val="150A19EE"/>
    <w:rsid w:val="15B711EC"/>
    <w:rsid w:val="17335D53"/>
    <w:rsid w:val="17784F52"/>
    <w:rsid w:val="17C82FF6"/>
    <w:rsid w:val="19AC2213"/>
    <w:rsid w:val="1C627327"/>
    <w:rsid w:val="20AA2152"/>
    <w:rsid w:val="221456E5"/>
    <w:rsid w:val="225D208B"/>
    <w:rsid w:val="229D50E2"/>
    <w:rsid w:val="2436699F"/>
    <w:rsid w:val="258955DB"/>
    <w:rsid w:val="281818F4"/>
    <w:rsid w:val="29D5459D"/>
    <w:rsid w:val="2A7F2244"/>
    <w:rsid w:val="2B4262A0"/>
    <w:rsid w:val="2BE222CE"/>
    <w:rsid w:val="2C644E5F"/>
    <w:rsid w:val="2D0D48B7"/>
    <w:rsid w:val="2DEB7D19"/>
    <w:rsid w:val="30BE6A03"/>
    <w:rsid w:val="30DB5145"/>
    <w:rsid w:val="31015BBD"/>
    <w:rsid w:val="32E9253F"/>
    <w:rsid w:val="386D1B20"/>
    <w:rsid w:val="39B73441"/>
    <w:rsid w:val="39E40528"/>
    <w:rsid w:val="3A6401D0"/>
    <w:rsid w:val="40C63115"/>
    <w:rsid w:val="44AC71E3"/>
    <w:rsid w:val="455005EE"/>
    <w:rsid w:val="459D00E8"/>
    <w:rsid w:val="4A054215"/>
    <w:rsid w:val="4A5006EB"/>
    <w:rsid w:val="4D0C0565"/>
    <w:rsid w:val="4D1F6E36"/>
    <w:rsid w:val="4ECC72E7"/>
    <w:rsid w:val="4F2D7844"/>
    <w:rsid w:val="508B2248"/>
    <w:rsid w:val="511D4FF2"/>
    <w:rsid w:val="52D54F5B"/>
    <w:rsid w:val="52ED35BA"/>
    <w:rsid w:val="534F4535"/>
    <w:rsid w:val="55A47791"/>
    <w:rsid w:val="58451BBE"/>
    <w:rsid w:val="5A1F4B21"/>
    <w:rsid w:val="5BA37DB5"/>
    <w:rsid w:val="5CF4716A"/>
    <w:rsid w:val="5D1B22F7"/>
    <w:rsid w:val="5DED47D0"/>
    <w:rsid w:val="60AB3B68"/>
    <w:rsid w:val="61A902A4"/>
    <w:rsid w:val="61EA58CC"/>
    <w:rsid w:val="64BD2ACA"/>
    <w:rsid w:val="65B77652"/>
    <w:rsid w:val="66B80760"/>
    <w:rsid w:val="6B7F7D43"/>
    <w:rsid w:val="6BB32CBF"/>
    <w:rsid w:val="6D301E87"/>
    <w:rsid w:val="6F6E2C29"/>
    <w:rsid w:val="6FFC6A05"/>
    <w:rsid w:val="701E7300"/>
    <w:rsid w:val="735049A9"/>
    <w:rsid w:val="738E2FE7"/>
    <w:rsid w:val="740C1D6B"/>
    <w:rsid w:val="76052EAE"/>
    <w:rsid w:val="76865A7E"/>
    <w:rsid w:val="778B1DFE"/>
    <w:rsid w:val="7C100E4F"/>
    <w:rsid w:val="7CD32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A15220-598E-4173-B3B2-B285010E2FC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643</Words>
  <Characters>3669</Characters>
  <Lines>30</Lines>
  <Paragraphs>8</Paragraphs>
  <TotalTime>1</TotalTime>
  <ScaleCrop>false</ScaleCrop>
  <LinksUpToDate>false</LinksUpToDate>
  <CharactersWithSpaces>4304</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2019-09-30T03:56:03Z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