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bookmarkStart w:id="0" w:name="_GoBack"/>
      <w:bookmarkEnd w:id="0"/>
      <w:r>
        <w:drawing>
          <wp:anchor distT="0" distB="0" distL="114300" distR="114300" simplePos="0" relativeHeight="251841536" behindDoc="0" locked="0" layoutInCell="1" allowOverlap="1">
            <wp:simplePos x="0" y="0"/>
            <wp:positionH relativeFrom="column">
              <wp:posOffset>445770</wp:posOffset>
            </wp:positionH>
            <wp:positionV relativeFrom="paragraph">
              <wp:posOffset>-7693025</wp:posOffset>
            </wp:positionV>
            <wp:extent cx="574675" cy="343535"/>
            <wp:effectExtent l="0" t="0" r="15875" b="18415"/>
            <wp:wrapNone/>
            <wp:docPr id="4" name="图片 4"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r>
        <w:drawing>
          <wp:anchor distT="0" distB="0" distL="114300" distR="114300" simplePos="0" relativeHeight="251656192" behindDoc="1" locked="0" layoutInCell="1" allowOverlap="1">
            <wp:simplePos x="0" y="0"/>
            <wp:positionH relativeFrom="column">
              <wp:posOffset>-215900</wp:posOffset>
            </wp:positionH>
            <wp:positionV relativeFrom="paragraph">
              <wp:posOffset>-211455</wp:posOffset>
            </wp:positionV>
            <wp:extent cx="7560310" cy="10685145"/>
            <wp:effectExtent l="0" t="0" r="2540" b="1905"/>
            <wp:wrapSquare wrapText="bothSides"/>
            <wp:docPr id="3" name="图片 3" descr="\\192.168.71.212\产品设计部共享\03康泰科目\02营销广告\12-产品源文件\01、跟团游\02-小资海情调\小资海情调-首图5天.jpg小资海情调-首图5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2.168.71.212\产品设计部共享\03康泰科目\02营销广告\12-产品源文件\01、跟团游\02-小资海情调\小资海情调-首图5天.jpg小资海情调-首图5天"/>
                    <pic:cNvPicPr>
                      <a:picLocks noChangeAspect="1"/>
                    </pic:cNvPicPr>
                  </pic:nvPicPr>
                  <pic:blipFill>
                    <a:blip r:embed="rId7"/>
                    <a:srcRect/>
                    <a:stretch>
                      <a:fillRect/>
                    </a:stretch>
                  </pic:blipFill>
                  <pic:spPr>
                    <a:xfrm>
                      <a:off x="0" y="0"/>
                      <a:ext cx="7560310" cy="10685145"/>
                    </a:xfrm>
                    <a:prstGeom prst="rect">
                      <a:avLst/>
                    </a:prstGeom>
                  </pic:spPr>
                </pic:pic>
              </a:graphicData>
            </a:graphic>
          </wp:anchor>
        </w:drawing>
      </w:r>
      <w:r>
        <w:br w:type="page"/>
      </w:r>
    </w:p>
    <w:p>
      <w:r>
        <w:drawing>
          <wp:anchor distT="0" distB="0" distL="114300" distR="114300" simplePos="0" relativeHeight="251745280" behindDoc="0" locked="0" layoutInCell="1" allowOverlap="1">
            <wp:simplePos x="0" y="0"/>
            <wp:positionH relativeFrom="column">
              <wp:posOffset>-213995</wp:posOffset>
            </wp:positionH>
            <wp:positionV relativeFrom="paragraph">
              <wp:posOffset>-215900</wp:posOffset>
            </wp:positionV>
            <wp:extent cx="7557770" cy="10690860"/>
            <wp:effectExtent l="0" t="0" r="5080" b="15240"/>
            <wp:wrapSquare wrapText="bothSides"/>
            <wp:docPr id="1" name="图片 1" descr="\\192.168.71.212\产品设计部共享\03康泰科目\02营销广告\12-产品源文件\01、跟团游\02-小资海情调\小资海情调-P2.jpg小资海情调-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71.212\产品设计部共享\03康泰科目\02营销广告\12-产品源文件\01、跟团游\02-小资海情调\小资海情调-P2.jpg小资海情调-P2"/>
                    <pic:cNvPicPr>
                      <a:picLocks noChangeAspect="1"/>
                    </pic:cNvPicPr>
                  </pic:nvPicPr>
                  <pic:blipFill>
                    <a:blip r:embed="rId8"/>
                    <a:srcRect/>
                    <a:stretch>
                      <a:fillRect/>
                    </a:stretch>
                  </pic:blipFill>
                  <pic:spPr>
                    <a:xfrm>
                      <a:off x="0" y="0"/>
                      <a:ext cx="7557770" cy="10690860"/>
                    </a:xfrm>
                    <a:prstGeom prst="rect">
                      <a:avLst/>
                    </a:prstGeom>
                  </pic:spPr>
                </pic:pic>
              </a:graphicData>
            </a:graphic>
          </wp:anchor>
        </w:drawing>
      </w:r>
      <w:r>
        <w:br w:type="page"/>
      </w:r>
    </w:p>
    <w:p>
      <w:r>
        <w:drawing>
          <wp:anchor distT="0" distB="0" distL="114300" distR="114300" simplePos="0" relativeHeight="251751424" behindDoc="1" locked="0" layoutInCell="1" allowOverlap="1">
            <wp:simplePos x="0" y="0"/>
            <wp:positionH relativeFrom="column">
              <wp:posOffset>-214630</wp:posOffset>
            </wp:positionH>
            <wp:positionV relativeFrom="paragraph">
              <wp:posOffset>-215900</wp:posOffset>
            </wp:positionV>
            <wp:extent cx="7556500" cy="10688955"/>
            <wp:effectExtent l="0" t="0" r="6350" b="17145"/>
            <wp:wrapSquare wrapText="bothSides"/>
            <wp:docPr id="6" name="图片 6" descr="\\192.168.71.212\产品设计部共享\03康泰科目\02营销广告\12-产品源文件\01、跟团游\02-小资海情调\小资海情调-P3.jpg小资海情调-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71.212\产品设计部共享\03康泰科目\02营销广告\12-产品源文件\01、跟团游\02-小资海情调\小资海情调-P3.jpg小资海情调-P3"/>
                    <pic:cNvPicPr>
                      <a:picLocks noChangeAspect="1"/>
                    </pic:cNvPicPr>
                  </pic:nvPicPr>
                  <pic:blipFill>
                    <a:blip r:embed="rId9"/>
                    <a:srcRect/>
                    <a:stretch>
                      <a:fillRect/>
                    </a:stretch>
                  </pic:blipFill>
                  <pic:spPr>
                    <a:xfrm>
                      <a:off x="0" y="0"/>
                      <a:ext cx="7556500" cy="10688955"/>
                    </a:xfrm>
                    <a:prstGeom prst="rect">
                      <a:avLst/>
                    </a:prstGeom>
                  </pic:spPr>
                </pic:pic>
              </a:graphicData>
            </a:graphic>
          </wp:anchor>
        </w:drawing>
      </w:r>
      <w:r>
        <w:br w:type="page"/>
      </w:r>
    </w:p>
    <w:p>
      <w:r>
        <w:drawing>
          <wp:anchor distT="0" distB="0" distL="114300" distR="114300" simplePos="0" relativeHeight="251816960" behindDoc="0" locked="0" layoutInCell="1" allowOverlap="1">
            <wp:simplePos x="0" y="0"/>
            <wp:positionH relativeFrom="column">
              <wp:posOffset>-212725</wp:posOffset>
            </wp:positionH>
            <wp:positionV relativeFrom="paragraph">
              <wp:posOffset>-215900</wp:posOffset>
            </wp:positionV>
            <wp:extent cx="7567295" cy="10704830"/>
            <wp:effectExtent l="0" t="0" r="14605" b="1270"/>
            <wp:wrapSquare wrapText="bothSides"/>
            <wp:docPr id="8" name="图片 8" descr="\\192.168.71.212\产品设计部共享\03康泰科目\02营销广告\12-产品源文件\01、跟团游\02-小资海情调\小资海情调-P4.jpg小资海情调-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2.168.71.212\产品设计部共享\03康泰科目\02营销广告\12-产品源文件\01、跟团游\02-小资海情调\小资海情调-P4.jpg小资海情调-P4"/>
                    <pic:cNvPicPr>
                      <a:picLocks noChangeAspect="1"/>
                    </pic:cNvPicPr>
                  </pic:nvPicPr>
                  <pic:blipFill>
                    <a:blip r:embed="rId10"/>
                    <a:srcRect/>
                    <a:stretch>
                      <a:fillRect/>
                    </a:stretch>
                  </pic:blipFill>
                  <pic:spPr>
                    <a:xfrm>
                      <a:off x="0" y="0"/>
                      <a:ext cx="7567295" cy="10704830"/>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689"/>
        <w:gridCol w:w="174"/>
        <w:gridCol w:w="6478"/>
        <w:gridCol w:w="7"/>
        <w:gridCol w:w="300"/>
        <w:gridCol w:w="2577"/>
      </w:tblGrid>
      <w:tr>
        <w:tblPrEx>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小资海情调</w:t>
            </w:r>
          </w:p>
        </w:tc>
      </w:tr>
      <w:tr>
        <w:tblPrEx>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小资住宿：</w:t>
            </w:r>
          </w:p>
          <w:p>
            <w:pPr>
              <w:spacing w:after="156" w:afterLines="50" w:line="280" w:lineRule="exact"/>
              <w:rPr>
                <w:rFonts w:ascii="宋体" w:hAnsi="宋体"/>
                <w:sz w:val="18"/>
                <w:szCs w:val="18"/>
              </w:rPr>
            </w:pPr>
            <w:r>
              <w:rPr>
                <w:rFonts w:hint="eastAsia" w:ascii="宋体" w:hAnsi="宋体"/>
                <w:sz w:val="18"/>
                <w:szCs w:val="18"/>
              </w:rPr>
              <w:t>精选高性价比的三亚海边酒店，首选入住碧海金沙酒店、畅享800平露天泳池、分钟和秒与海的距离，夫妻、爱侣可安排全程大床房。</w:t>
            </w:r>
          </w:p>
          <w:p>
            <w:pPr>
              <w:spacing w:line="280" w:lineRule="exact"/>
              <w:rPr>
                <w:rFonts w:ascii="Arial" w:hAnsi="Arial" w:cs="Arial"/>
                <w:b/>
                <w:bCs/>
                <w:color w:val="E60044"/>
                <w:szCs w:val="21"/>
              </w:rPr>
            </w:pPr>
            <w:r>
              <w:rPr>
                <w:rFonts w:hint="eastAsia" w:ascii="Arial" w:hAnsi="Arial" w:cs="Arial"/>
                <w:b/>
                <w:bCs/>
                <w:color w:val="E60044"/>
                <w:szCs w:val="21"/>
              </w:rPr>
              <w:t>小资美食：</w:t>
            </w:r>
          </w:p>
          <w:p>
            <w:pPr>
              <w:spacing w:line="280" w:lineRule="exact"/>
              <w:rPr>
                <w:rFonts w:ascii="宋体" w:hAnsi="宋体"/>
                <w:sz w:val="20"/>
                <w:szCs w:val="20"/>
              </w:rPr>
            </w:pPr>
            <w:r>
              <w:rPr>
                <w:rFonts w:hint="eastAsia" w:asciiTheme="minorEastAsia" w:hAnsiTheme="minorEastAsia"/>
                <w:sz w:val="18"/>
                <w:szCs w:val="18"/>
              </w:rPr>
              <w:t>早餐酒店早餐，正餐餐标均价达30元/人/餐（自助或围桌），升级虾兵蟹将海鲜餐、南山素斋自助餐各1次。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小资玩法：</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小资特享：</w:t>
            </w:r>
          </w:p>
          <w:p>
            <w:pPr>
              <w:spacing w:line="280" w:lineRule="exact"/>
              <w:rPr>
                <w:rFonts w:asciiTheme="minorEastAsia" w:hAnsiTheme="minorEastAsia"/>
                <w:sz w:val="18"/>
                <w:szCs w:val="18"/>
              </w:rPr>
            </w:pPr>
            <w:r>
              <w:rPr>
                <w:rFonts w:hint="eastAsia" w:asciiTheme="minorEastAsia" w:hAnsiTheme="minorEastAsia"/>
                <w:sz w:val="18"/>
                <w:szCs w:val="18"/>
              </w:rPr>
              <w:t>赠送价值300元/人的三亚千古情（门票+演出），赠送红色娘子军实景演出，全程品牌矿泉水1瓶/人/天、旅行社责任险；</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小资保障：</w:t>
            </w:r>
          </w:p>
          <w:p>
            <w:pPr>
              <w:spacing w:after="156" w:afterLines="50" w:line="280" w:lineRule="exact"/>
              <w:rPr>
                <w:rFonts w:ascii="宋体" w:hAnsi="宋体"/>
                <w:color w:val="C00000"/>
                <w:sz w:val="18"/>
                <w:szCs w:val="18"/>
              </w:rPr>
            </w:pPr>
            <w:r>
              <w:rPr>
                <w:rFonts w:hint="eastAsia" w:ascii="宋体" w:hAnsi="宋体"/>
                <w:sz w:val="18"/>
                <w:szCs w:val="18"/>
              </w:rPr>
              <w:t>白天晚上均不推其他自费景点及项目（潜水等海上娱乐项目除外），不增加任何购物店，违约赔付2000元/人。</w:t>
            </w:r>
          </w:p>
        </w:tc>
      </w:tr>
      <w:tr>
        <w:tblPrEx>
          <w:tblCellMar>
            <w:top w:w="57" w:type="dxa"/>
            <w:left w:w="57" w:type="dxa"/>
            <w:bottom w:w="57" w:type="dxa"/>
            <w:right w:w="57" w:type="dxa"/>
          </w:tblCellMar>
        </w:tblPrEx>
        <w:trPr>
          <w:trHeight w:val="1193"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235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蜈支洲岛—赠送三亚红色娘子军演艺</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r>
              <w:rPr>
                <w:rFonts w:hint="eastAsia"/>
                <w:b/>
                <w:bCs/>
                <w:sz w:val="18"/>
                <w:szCs w:val="18"/>
              </w:rPr>
              <w:t>赠送</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大型椰海实景演出·三亚红色娘子军演艺</w:t>
            </w:r>
            <w:r>
              <w:rPr>
                <w:rFonts w:hint="eastAsia" w:asciiTheme="minorEastAsia" w:hAnsiTheme="minorEastAsia"/>
                <w:b/>
                <w:bCs/>
                <w:sz w:val="18"/>
                <w:szCs w:val="18"/>
              </w:rPr>
              <w:t>】</w:t>
            </w:r>
            <w:r>
              <w:rPr>
                <w:rFonts w:hint="eastAsia"/>
                <w:b/>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不少于80分钟）演出以真实海南红色革命故事为背景，以神秘的海南热带森林为环境意向，融合黎族风情，以静谧宽广的万泉河水为情感符号，结合沉浸式动态座椅，根据情节逐步推向舞台，艺术再现、创新演绎，一场不虚此行的视觉盛宴。</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w:t>
            </w:r>
            <w:r>
              <w:rPr>
                <w:rFonts w:hint="eastAsia"/>
                <w:b/>
                <w:bCs/>
                <w:color w:val="E60044"/>
                <w:sz w:val="18"/>
                <w:szCs w:val="18"/>
                <w:lang w:val="zh-TW"/>
              </w:rPr>
              <w:t xml:space="preserve">热带农业示范基地—宋城千古情（含演出）  </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（游览时间不少于120分钟）这里有历史复苏的各种盛筵、精彩的民俗演出、有趣的现场互动、仿佛静止千年的黎村苗寨。</w:t>
            </w:r>
          </w:p>
          <w:p>
            <w:pPr>
              <w:rPr>
                <w:rFonts w:asciiTheme="minorEastAsia" w:hAnsiTheme="minorEastAsia"/>
                <w:sz w:val="18"/>
                <w:szCs w:val="18"/>
              </w:rPr>
            </w:pPr>
            <w:r>
              <w:rPr>
                <w:rFonts w:hint="eastAsia" w:asciiTheme="minorEastAsia" w:hAnsiTheme="minorEastAsia"/>
                <w:b/>
                <w:bCs/>
                <w:sz w:val="18"/>
                <w:szCs w:val="18"/>
              </w:rPr>
              <w:t>赠送—【千古情演出】</w:t>
            </w:r>
            <w:r>
              <w:rPr>
                <w:rFonts w:hint="eastAsia" w:asciiTheme="minorEastAsia" w:hAnsiTheme="minorEastAsia"/>
                <w:sz w:val="18"/>
                <w:szCs w:val="18"/>
              </w:rPr>
              <w:t>：立足于三亚长达一万年的恢弘历史长卷，以其崭新的舞台设计使整场演出突破了传统空间与感觉的界限，呈现出诗画般令人目眩神迷的美学感受。360度全景剧幕层出不穷，400平方米的巨型悬空透明膜从天而降，4700位观众伸手与头上的比基尼美女零距离互动……让每一寸角落都满盈着演出怒放的张力，撼动着观众的视觉与听觉神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1171" w:hRule="atLeast"/>
          <w:jc w:val="center"/>
        </w:trPr>
        <w:tc>
          <w:tcPr>
            <w:tcW w:w="1863" w:type="dxa"/>
            <w:gridSpan w:val="2"/>
            <w:tcBorders>
              <w:top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4" w:space="0"/>
            </w:tcBorders>
            <w:shd w:val="clear" w:color="auto" w:fill="auto"/>
            <w:vAlign w:val="center"/>
          </w:tcPr>
          <w:p>
            <w:pPr>
              <w:rPr>
                <w:rFonts w:asciiTheme="minorEastAsia" w:hAnsiTheme="minorEastAsia"/>
                <w:sz w:val="18"/>
                <w:szCs w:val="18"/>
              </w:rPr>
            </w:pPr>
            <w:r>
              <w:rPr>
                <w:rFonts w:hint="eastAsia"/>
                <w:b w:val="0"/>
                <w:bCs/>
                <w:sz w:val="18"/>
                <w:szCs w:val="18"/>
                <w:lang w:val="zh-TW" w:eastAsia="zh-CN"/>
              </w:rPr>
              <w:t>专人送机，</w:t>
            </w:r>
            <w:r>
              <w:rPr>
                <w:rFonts w:hint="eastAsia"/>
                <w:b w:val="0"/>
                <w:bCs/>
                <w:sz w:val="18"/>
                <w:szCs w:val="18"/>
                <w:lang w:val="zh-TW"/>
              </w:rPr>
              <w:t>乘</w:t>
            </w:r>
            <w:r>
              <w:rPr>
                <w:rFonts w:hint="eastAsia"/>
                <w:sz w:val="18"/>
                <w:szCs w:val="18"/>
                <w:lang w:val="zh-TW"/>
              </w:rPr>
              <w:t>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rFonts w:hint="eastAsia" w:ascii="宋体" w:hAnsi="宋体"/>
                <w:b/>
                <w:color w:val="E60044"/>
                <w:sz w:val="28"/>
                <w:szCs w:val="28"/>
              </w:rPr>
              <w:t>费用包含</w:t>
            </w:r>
          </w:p>
        </w:tc>
      </w:tr>
      <w:tr>
        <w:tblPrEx>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三亚一地，全程连住指定三亚海边酒店不挪窝；</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全程4正4早，正餐标30元/人/餐；升级虾兵蟹将海鲜餐、南山素斋自助餐各1次；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碧海金沙、凯瑞莱、开元、君亭、仙居府、新城酒店、颐和、万嘉</w:t>
            </w:r>
          </w:p>
        </w:tc>
      </w:tr>
      <w:tr>
        <w:tblPrEx>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景区内交通工具及特色演出、海上自愿娱乐项目</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7A52"/>
    <w:rsid w:val="0001212C"/>
    <w:rsid w:val="000136A2"/>
    <w:rsid w:val="00023C3B"/>
    <w:rsid w:val="000275F2"/>
    <w:rsid w:val="00041FA5"/>
    <w:rsid w:val="00042FA4"/>
    <w:rsid w:val="000D4D56"/>
    <w:rsid w:val="000E0E0E"/>
    <w:rsid w:val="001169A8"/>
    <w:rsid w:val="00122CA5"/>
    <w:rsid w:val="00140BED"/>
    <w:rsid w:val="00140FFE"/>
    <w:rsid w:val="00161232"/>
    <w:rsid w:val="001836B3"/>
    <w:rsid w:val="001848FA"/>
    <w:rsid w:val="001A5209"/>
    <w:rsid w:val="001B3ADC"/>
    <w:rsid w:val="001D6FC0"/>
    <w:rsid w:val="001E5A40"/>
    <w:rsid w:val="00214D3A"/>
    <w:rsid w:val="002310FC"/>
    <w:rsid w:val="002538BD"/>
    <w:rsid w:val="002749DB"/>
    <w:rsid w:val="002950DF"/>
    <w:rsid w:val="00310CC0"/>
    <w:rsid w:val="00324C8A"/>
    <w:rsid w:val="00353FF7"/>
    <w:rsid w:val="00354DA6"/>
    <w:rsid w:val="003D4AF7"/>
    <w:rsid w:val="00423C97"/>
    <w:rsid w:val="00473CE0"/>
    <w:rsid w:val="00474B5E"/>
    <w:rsid w:val="004B705B"/>
    <w:rsid w:val="004D004E"/>
    <w:rsid w:val="00511B5A"/>
    <w:rsid w:val="00517CEA"/>
    <w:rsid w:val="0053504E"/>
    <w:rsid w:val="00540229"/>
    <w:rsid w:val="00542864"/>
    <w:rsid w:val="005805A8"/>
    <w:rsid w:val="00595654"/>
    <w:rsid w:val="005A362E"/>
    <w:rsid w:val="005C437F"/>
    <w:rsid w:val="005E7F9C"/>
    <w:rsid w:val="00607267"/>
    <w:rsid w:val="00615F52"/>
    <w:rsid w:val="0061791F"/>
    <w:rsid w:val="00684817"/>
    <w:rsid w:val="006A7574"/>
    <w:rsid w:val="006C388D"/>
    <w:rsid w:val="006C711E"/>
    <w:rsid w:val="007605D7"/>
    <w:rsid w:val="00780BF5"/>
    <w:rsid w:val="007B0D61"/>
    <w:rsid w:val="007F6BD4"/>
    <w:rsid w:val="0084196D"/>
    <w:rsid w:val="00850BF9"/>
    <w:rsid w:val="00864376"/>
    <w:rsid w:val="00871216"/>
    <w:rsid w:val="008766BD"/>
    <w:rsid w:val="00880EB9"/>
    <w:rsid w:val="00890E94"/>
    <w:rsid w:val="008C2FE6"/>
    <w:rsid w:val="008E012E"/>
    <w:rsid w:val="00957F1F"/>
    <w:rsid w:val="00965DDE"/>
    <w:rsid w:val="00984B67"/>
    <w:rsid w:val="00995EC9"/>
    <w:rsid w:val="009B433C"/>
    <w:rsid w:val="009C0BCC"/>
    <w:rsid w:val="00A16405"/>
    <w:rsid w:val="00A37FF1"/>
    <w:rsid w:val="00A56508"/>
    <w:rsid w:val="00A9319F"/>
    <w:rsid w:val="00AB411B"/>
    <w:rsid w:val="00AB4229"/>
    <w:rsid w:val="00B30C1E"/>
    <w:rsid w:val="00B55630"/>
    <w:rsid w:val="00BF0D67"/>
    <w:rsid w:val="00BF6553"/>
    <w:rsid w:val="00C12750"/>
    <w:rsid w:val="00C24052"/>
    <w:rsid w:val="00C31723"/>
    <w:rsid w:val="00C678BB"/>
    <w:rsid w:val="00C85690"/>
    <w:rsid w:val="00D01D2B"/>
    <w:rsid w:val="00D11F44"/>
    <w:rsid w:val="00D13E44"/>
    <w:rsid w:val="00D22FF6"/>
    <w:rsid w:val="00D43E3F"/>
    <w:rsid w:val="00D511FC"/>
    <w:rsid w:val="00D664F5"/>
    <w:rsid w:val="00D665A4"/>
    <w:rsid w:val="00D95ADB"/>
    <w:rsid w:val="00DE32ED"/>
    <w:rsid w:val="00DF5895"/>
    <w:rsid w:val="00E16440"/>
    <w:rsid w:val="00E24038"/>
    <w:rsid w:val="00E627C6"/>
    <w:rsid w:val="00E76362"/>
    <w:rsid w:val="00EC356B"/>
    <w:rsid w:val="00ED69DC"/>
    <w:rsid w:val="00F06DE7"/>
    <w:rsid w:val="00F10CB4"/>
    <w:rsid w:val="00F1767B"/>
    <w:rsid w:val="00F20973"/>
    <w:rsid w:val="00F71B17"/>
    <w:rsid w:val="00FC002F"/>
    <w:rsid w:val="00FE16B4"/>
    <w:rsid w:val="01786AC3"/>
    <w:rsid w:val="02E8169C"/>
    <w:rsid w:val="05EA05B9"/>
    <w:rsid w:val="060B3707"/>
    <w:rsid w:val="07EB79D6"/>
    <w:rsid w:val="08A73B07"/>
    <w:rsid w:val="09956601"/>
    <w:rsid w:val="0ABC48AC"/>
    <w:rsid w:val="0B952A4F"/>
    <w:rsid w:val="0BA115A6"/>
    <w:rsid w:val="0D6367E4"/>
    <w:rsid w:val="10423080"/>
    <w:rsid w:val="10601B8A"/>
    <w:rsid w:val="14DD2A45"/>
    <w:rsid w:val="150A19EE"/>
    <w:rsid w:val="15B711EC"/>
    <w:rsid w:val="17335D53"/>
    <w:rsid w:val="17784F52"/>
    <w:rsid w:val="17C82FF6"/>
    <w:rsid w:val="19AC2213"/>
    <w:rsid w:val="1C627327"/>
    <w:rsid w:val="20AA2152"/>
    <w:rsid w:val="21E4330A"/>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3AA90331"/>
    <w:rsid w:val="40C63115"/>
    <w:rsid w:val="44AC71E3"/>
    <w:rsid w:val="455005EE"/>
    <w:rsid w:val="459D00E8"/>
    <w:rsid w:val="4A054215"/>
    <w:rsid w:val="4A806FF5"/>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5E5808CE"/>
    <w:rsid w:val="60AB3B68"/>
    <w:rsid w:val="6182590B"/>
    <w:rsid w:val="61A902A4"/>
    <w:rsid w:val="61EA58CC"/>
    <w:rsid w:val="64BD2ACA"/>
    <w:rsid w:val="65B77652"/>
    <w:rsid w:val="66B80760"/>
    <w:rsid w:val="6B7F7D43"/>
    <w:rsid w:val="6BB32CBF"/>
    <w:rsid w:val="6D301E87"/>
    <w:rsid w:val="6E3C6774"/>
    <w:rsid w:val="6F6E2C29"/>
    <w:rsid w:val="6FFC6A05"/>
    <w:rsid w:val="701E7300"/>
    <w:rsid w:val="738E2FE7"/>
    <w:rsid w:val="73E16BED"/>
    <w:rsid w:val="74005DE8"/>
    <w:rsid w:val="740C1D6B"/>
    <w:rsid w:val="76052EAE"/>
    <w:rsid w:val="76865A7E"/>
    <w:rsid w:val="778B1DFE"/>
    <w:rsid w:val="78A93264"/>
    <w:rsid w:val="7C100E4F"/>
    <w:rsid w:val="7C37178E"/>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4556</Words>
  <Characters>268</Characters>
  <Lines>2</Lines>
  <Paragraphs>9</Paragraphs>
  <TotalTime>0</TotalTime>
  <ScaleCrop>false</ScaleCrop>
  <LinksUpToDate>false</LinksUpToDate>
  <CharactersWithSpaces>4815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2019-11-04T07:16:44Z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