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671552" behindDoc="1" locked="0" layoutInCell="1" allowOverlap="1">
            <wp:simplePos x="0" y="0"/>
            <wp:positionH relativeFrom="column">
              <wp:posOffset>-238125</wp:posOffset>
            </wp:positionH>
            <wp:positionV relativeFrom="paragraph">
              <wp:posOffset>-209550</wp:posOffset>
            </wp:positionV>
            <wp:extent cx="7567930" cy="10705465"/>
            <wp:effectExtent l="0" t="0" r="13970" b="635"/>
            <wp:wrapNone/>
            <wp:docPr id="3" name="图片 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0"/>
                    <pic:cNvPicPr>
                      <a:picLocks noChangeAspect="1"/>
                    </pic:cNvPicPr>
                  </pic:nvPicPr>
                  <pic:blipFill>
                    <a:blip r:embed="rId6"/>
                    <a:stretch>
                      <a:fillRect/>
                    </a:stretch>
                  </pic:blipFill>
                  <pic:spPr>
                    <a:xfrm>
                      <a:off x="0" y="0"/>
                      <a:ext cx="7567930" cy="1070546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6094730</wp:posOffset>
            </wp:positionH>
            <wp:positionV relativeFrom="paragraph">
              <wp:posOffset>-4981575</wp:posOffset>
            </wp:positionV>
            <wp:extent cx="574675" cy="343535"/>
            <wp:effectExtent l="0" t="0" r="0" b="0"/>
            <wp:wrapNone/>
            <wp:docPr id="8" name="图片 8"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等待标志"/>
                    <pic:cNvPicPr>
                      <a:picLocks noChangeAspect="1"/>
                    </pic:cNvPicPr>
                  </pic:nvPicPr>
                  <pic:blipFill>
                    <a:blip r:embed="rId7"/>
                    <a:stretch>
                      <a:fillRect/>
                    </a:stretch>
                  </pic:blipFill>
                  <pic:spPr>
                    <a:xfrm>
                      <a:off x="0" y="0"/>
                      <a:ext cx="574675" cy="343535"/>
                    </a:xfrm>
                    <a:prstGeom prst="rect">
                      <a:avLst/>
                    </a:prstGeom>
                  </pic:spPr>
                </pic:pic>
              </a:graphicData>
            </a:graphic>
          </wp:anchor>
        </w:drawing>
      </w:r>
    </w:p>
    <w:p>
      <w:r>
        <w:drawing>
          <wp:anchor distT="0" distB="0" distL="114300" distR="114300" simplePos="0" relativeHeight="251662336" behindDoc="0" locked="0" layoutInCell="1" allowOverlap="1">
            <wp:simplePos x="0" y="0"/>
            <wp:positionH relativeFrom="column">
              <wp:posOffset>-215900</wp:posOffset>
            </wp:positionH>
            <wp:positionV relativeFrom="paragraph">
              <wp:posOffset>-204470</wp:posOffset>
            </wp:positionV>
            <wp:extent cx="7550785" cy="106762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785" cy="10676255"/>
                    </a:xfrm>
                    <a:prstGeom prst="rect">
                      <a:avLst/>
                    </a:prstGeom>
                  </pic:spPr>
                </pic:pic>
              </a:graphicData>
            </a:graphic>
          </wp:anchor>
        </w:drawing>
      </w:r>
      <w:r>
        <w:br w:type="page"/>
      </w:r>
    </w:p>
    <w:p>
      <w:r>
        <w:drawing>
          <wp:anchor distT="0" distB="0" distL="114300" distR="114300" simplePos="0" relativeHeight="251665408" behindDoc="0" locked="0" layoutInCell="1" allowOverlap="1">
            <wp:simplePos x="0" y="0"/>
            <wp:positionH relativeFrom="column">
              <wp:posOffset>-215900</wp:posOffset>
            </wp:positionH>
            <wp:positionV relativeFrom="paragraph">
              <wp:posOffset>-215900</wp:posOffset>
            </wp:positionV>
            <wp:extent cx="7557770" cy="10690860"/>
            <wp:effectExtent l="0" t="0" r="508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r>
        <w:br w:type="page"/>
      </w:r>
    </w:p>
    <w:p>
      <w:r>
        <w:drawing>
          <wp:anchor distT="0" distB="0" distL="114300" distR="114300" simplePos="0" relativeHeight="251670528" behindDoc="0" locked="0" layoutInCell="1" allowOverlap="1">
            <wp:simplePos x="0" y="0"/>
            <wp:positionH relativeFrom="column">
              <wp:posOffset>-215900</wp:posOffset>
            </wp:positionH>
            <wp:positionV relativeFrom="paragraph">
              <wp:posOffset>-215900</wp:posOffset>
            </wp:positionV>
            <wp:extent cx="7561580" cy="10696575"/>
            <wp:effectExtent l="0" t="0" r="1270"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1069657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188"/>
        <w:gridCol w:w="501"/>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7"/>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纯玩派（海景版）·海南游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5"/>
            <w:tcBorders>
              <w:bottom w:val="single" w:color="E60044"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E60044"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3"/>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住有面子：</w:t>
            </w:r>
          </w:p>
          <w:p>
            <w:pPr>
              <w:rPr>
                <w:rFonts w:ascii="宋体" w:hAnsi="宋体"/>
                <w:sz w:val="20"/>
                <w:szCs w:val="20"/>
              </w:rPr>
            </w:pPr>
            <w:r>
              <w:rPr>
                <w:rFonts w:hint="eastAsia" w:ascii="宋体" w:hAnsi="宋体"/>
                <w:sz w:val="20"/>
                <w:szCs w:val="20"/>
              </w:rPr>
              <w:t xml:space="preserve">三亚一地，全程连住一线海边酒店海景房，免行李搬运烦扰。 </w:t>
            </w:r>
          </w:p>
          <w:p>
            <w:pPr>
              <w:spacing w:line="280" w:lineRule="exact"/>
              <w:rPr>
                <w:rFonts w:cs="Arial" w:asciiTheme="minorEastAsia" w:hAnsiTheme="minorEastAsia"/>
                <w:b/>
                <w:bCs/>
                <w:color w:val="C00000"/>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玩有面子：</w:t>
            </w:r>
          </w:p>
          <w:p>
            <w:pPr>
              <w:spacing w:line="280" w:lineRule="exact"/>
              <w:rPr>
                <w:rFonts w:ascii="宋体" w:hAnsi="宋体"/>
                <w:sz w:val="20"/>
                <w:szCs w:val="20"/>
              </w:rPr>
            </w:pPr>
            <w:r>
              <w:rPr>
                <w:rFonts w:hint="eastAsia" w:ascii="宋体" w:hAnsi="宋体"/>
                <w:sz w:val="20"/>
                <w:szCs w:val="20"/>
              </w:rPr>
              <w:t>赠一生必看演出-千古情演出、海景摩天轮；三大5A搭配双4A景区，5A海岛蜈支洲、5A民俗槟榔谷、5A佛境南山、4A雨林亚龙湾热带天堂森林公园、4A经典天涯海角、HOT新地标三亚国际免税城；每天2个景点，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吃有面子：</w:t>
            </w:r>
          </w:p>
          <w:p>
            <w:pPr>
              <w:spacing w:line="280" w:lineRule="exact"/>
              <w:rPr>
                <w:rFonts w:cs="Arial" w:asciiTheme="minorEastAsia" w:hAnsiTheme="minorEastAsia"/>
                <w:b/>
                <w:bCs/>
                <w:color w:val="C00000"/>
                <w:szCs w:val="21"/>
              </w:rPr>
            </w:pPr>
            <w:r>
              <w:rPr>
                <w:rFonts w:hint="eastAsia" w:ascii="宋体" w:hAnsi="宋体"/>
                <w:sz w:val="20"/>
                <w:szCs w:val="20"/>
              </w:rPr>
              <w:t>正餐标30元/人，</w:t>
            </w:r>
            <w:r>
              <w:rPr>
                <w:rFonts w:hint="eastAsia"/>
                <w:color w:val="262626" w:themeColor="text1" w:themeTint="D9"/>
                <w:sz w:val="18"/>
                <w:szCs w:val="18"/>
                <w14:textFill>
                  <w14:solidFill>
                    <w14:schemeClr w14:val="tx1">
                      <w14:lumMod w14:val="85000"/>
                      <w14:lumOff w14:val="15000"/>
                    </w14:schemeClr>
                  </w14:solidFill>
                </w14:textFill>
              </w:rPr>
              <w:t xml:space="preserve">升级品鉴 </w:t>
            </w:r>
            <w:r>
              <w:rPr>
                <w:rFonts w:hint="eastAsia" w:ascii="宋体" w:hAnsi="宋体"/>
                <w:sz w:val="18"/>
                <w:szCs w:val="18"/>
              </w:rPr>
              <w:t>“蟹鲍海鲜餐1份/人”、</w:t>
            </w:r>
            <w:r>
              <w:rPr>
                <w:rFonts w:hint="eastAsia"/>
                <w:color w:val="262626" w:themeColor="text1" w:themeTint="D9"/>
                <w:sz w:val="18"/>
                <w:szCs w:val="18"/>
                <w14:textFill>
                  <w14:solidFill>
                    <w14:schemeClr w14:val="tx1">
                      <w14:lumMod w14:val="85000"/>
                      <w14:lumOff w14:val="15000"/>
                    </w14:schemeClr>
                  </w14:solidFill>
                </w14:textFill>
              </w:rPr>
              <w:t>“波隆野菜自助餐”、“南山素斋”各</w:t>
            </w:r>
            <w:r>
              <w:rPr>
                <w:color w:val="262626" w:themeColor="text1" w:themeTint="D9"/>
                <w:sz w:val="18"/>
                <w:szCs w:val="18"/>
                <w14:textFill>
                  <w14:solidFill>
                    <w14:schemeClr w14:val="tx1">
                      <w14:lumMod w14:val="85000"/>
                      <w14:lumOff w14:val="15000"/>
                    </w14:schemeClr>
                  </w14:solidFill>
                </w14:textFill>
              </w:rPr>
              <w:t>1</w:t>
            </w:r>
            <w:r>
              <w:rPr>
                <w:rFonts w:hint="eastAsia"/>
                <w:color w:val="262626" w:themeColor="text1" w:themeTint="D9"/>
                <w:sz w:val="18"/>
                <w:szCs w:val="18"/>
                <w14:textFill>
                  <w14:solidFill>
                    <w14:schemeClr w14:val="tx1">
                      <w14:lumMod w14:val="85000"/>
                      <w14:lumOff w14:val="15000"/>
                    </w14:schemeClr>
                  </w14:solidFill>
                </w14:textFill>
              </w:rPr>
              <w:t>次</w:t>
            </w:r>
            <w:r>
              <w:rPr>
                <w:rFonts w:hint="eastAsia" w:ascii="宋体" w:hAnsi="宋体"/>
                <w:sz w:val="20"/>
                <w:szCs w:val="20"/>
              </w:rPr>
              <w:t>。</w:t>
            </w:r>
            <w:r>
              <w:rPr>
                <w:rFonts w:hint="eastAsia" w:cs="Arial" w:asciiTheme="minorEastAsia" w:hAnsiTheme="minorEastAsia"/>
                <w:b/>
                <w:bCs/>
                <w:color w:val="C00000"/>
                <w:szCs w:val="21"/>
              </w:rPr>
              <w:t xml:space="preserve"> </w:t>
            </w:r>
          </w:p>
          <w:p>
            <w:pPr>
              <w:spacing w:line="280" w:lineRule="exact"/>
              <w:rPr>
                <w:rFonts w:cs="Arial" w:asciiTheme="minorEastAsia" w:hAnsiTheme="minorEastAsia"/>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line="280" w:lineRule="exact"/>
              <w:rPr>
                <w:rFonts w:ascii="宋体" w:hAnsi="宋体"/>
                <w:sz w:val="20"/>
                <w:szCs w:val="20"/>
              </w:rPr>
            </w:pPr>
            <w:r>
              <w:rPr>
                <w:rFonts w:hint="eastAsia" w:ascii="宋体" w:hAnsi="宋体"/>
                <w:sz w:val="20"/>
                <w:szCs w:val="20"/>
              </w:rPr>
              <w:t>0购物0自费，全程不增加行程外购物点、不更换景点、不压缩游览时间，违约赔付2000元/人。</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经典赠送：</w:t>
            </w:r>
          </w:p>
          <w:p>
            <w:pPr>
              <w:spacing w:after="156" w:afterLines="50" w:line="280" w:lineRule="exact"/>
              <w:rPr>
                <w:rFonts w:ascii="宋体" w:hAnsi="宋体"/>
                <w:sz w:val="20"/>
                <w:szCs w:val="20"/>
              </w:rPr>
            </w:pPr>
            <w:r>
              <w:rPr>
                <w:rFonts w:hint="eastAsia" w:ascii="宋体" w:hAnsi="宋体"/>
                <w:sz w:val="20"/>
                <w:szCs w:val="20"/>
              </w:rPr>
              <w:t>全程品牌矿泉水1瓶/人/天、旅行社责任险。</w:t>
            </w:r>
          </w:p>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271" w:hRule="atLeast"/>
          <w:jc w:val="center"/>
        </w:trPr>
        <w:tc>
          <w:tcPr>
            <w:tcW w:w="1863" w:type="dxa"/>
            <w:gridSpan w:val="3"/>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2673"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三亚国际免税城</w:t>
            </w:r>
            <w:r>
              <w:rPr>
                <w:rFonts w:hint="eastAsia"/>
                <w:b/>
                <w:bCs/>
                <w:color w:val="E60044"/>
                <w:sz w:val="18"/>
                <w:szCs w:val="18"/>
              </w:rPr>
              <w:t>—宋城千古情（含演出）</w:t>
            </w:r>
          </w:p>
          <w:p>
            <w:pPr>
              <w:spacing w:before="62" w:beforeLines="20" w:after="62" w:afterLines="2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62" w:beforeLines="20" w:after="62" w:afterLines="20"/>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（游览时间不少于120分钟）这里有历史复苏的各种盛筵、精彩的民俗演出、有趣的现场互动、仿佛静止千年的黎村苗寨。</w:t>
            </w:r>
          </w:p>
          <w:p>
            <w:pPr>
              <w:spacing w:before="62" w:beforeLines="20" w:after="62" w:afterLines="20"/>
            </w:pPr>
            <w:r>
              <w:rPr>
                <w:rFonts w:hint="eastAsia" w:asciiTheme="minorEastAsia" w:hAnsiTheme="minorEastAsia"/>
                <w:b/>
                <w:bCs/>
                <w:sz w:val="18"/>
                <w:szCs w:val="18"/>
              </w:rPr>
              <w:t>赠送—【千古情演出】</w:t>
            </w:r>
            <w:r>
              <w:rPr>
                <w:rFonts w:hint="eastAsia" w:asciiTheme="minorEastAsia" w:hAnsiTheme="minorEastAsia"/>
                <w:sz w:val="18"/>
                <w:szCs w:val="18"/>
              </w:rPr>
              <w:t>：立足于三亚长达一万年的恢弘历史长卷，以其崭新的舞台设计使整场演出突破了传统空间与感觉的界限，呈现出诗画般令人目眩神迷的美学感受。360度全景剧幕层出不穷，400平方米的巨型悬空透明膜从天而降，4700位观众伸手与头上的比基尼美女零距离互动……让每一寸角落都满盈着演出怒放的张力，撼动着观众的视觉与听觉神经。</w:t>
            </w:r>
          </w:p>
          <w:p>
            <w:pPr>
              <w:spacing w:before="62" w:beforeLines="20" w:after="62" w:afterLines="20"/>
              <w:rPr>
                <w:sz w:val="18"/>
                <w:szCs w:val="18"/>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sz w:val="18"/>
                <w:szCs w:val="18"/>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49"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 xml:space="preserve">亚龙湾热带天堂森林公园 </w:t>
            </w:r>
            <w:r>
              <w:rPr>
                <w:rFonts w:hint="eastAsia"/>
                <w:b/>
                <w:color w:val="E60044"/>
                <w:sz w:val="18"/>
                <w:szCs w:val="18"/>
              </w:rPr>
              <w:t>—赠海景摩天轮</w:t>
            </w:r>
          </w:p>
          <w:p>
            <w:pPr>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62" w:beforeLines="20" w:after="62" w:afterLines="20"/>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早餐：酒店用餐   中餐：波隆野菜自助   </w:t>
            </w:r>
            <w:r>
              <w:rPr>
                <w:rFonts w:hint="eastAsia"/>
                <w:sz w:val="18"/>
                <w:szCs w:val="18"/>
              </w:rPr>
              <w:t>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501"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rPr>
                <w:b/>
                <w:color w:val="E60044"/>
                <w:sz w:val="18"/>
                <w:szCs w:val="18"/>
              </w:rPr>
            </w:pPr>
            <w:r>
              <w:rPr>
                <w:rFonts w:hint="eastAsia"/>
                <w:color w:val="E60044"/>
                <w:sz w:val="18"/>
                <w:szCs w:val="18"/>
              </w:rPr>
              <w:t>景点安排：</w:t>
            </w:r>
            <w:r>
              <w:rPr>
                <w:rFonts w:hint="eastAsia"/>
                <w:b/>
                <w:bCs/>
                <w:color w:val="E60044"/>
                <w:sz w:val="18"/>
                <w:szCs w:val="18"/>
              </w:rPr>
              <w:t>南山佛教文化苑</w:t>
            </w:r>
            <w:r>
              <w:rPr>
                <w:rFonts w:hint="eastAsia"/>
                <w:color w:val="E60044"/>
                <w:sz w:val="18"/>
                <w:szCs w:val="18"/>
              </w:rPr>
              <w:t>—</w:t>
            </w:r>
            <w:r>
              <w:rPr>
                <w:rFonts w:hint="eastAsia"/>
                <w:b/>
                <w:color w:val="E60044"/>
                <w:sz w:val="18"/>
                <w:szCs w:val="18"/>
              </w:rPr>
              <w:t>天涯海角</w:t>
            </w:r>
          </w:p>
          <w:p>
            <w:pPr>
              <w:pStyle w:val="5"/>
              <w:spacing w:before="62" w:beforeLines="20" w:beforeAutospacing="0" w:after="62" w:afterLines="2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62" w:beforeLines="20" w:after="62" w:afterLines="20"/>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gridSpan w:val="3"/>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before="62" w:beforeLines="20" w:after="62" w:afterLines="20"/>
              <w:rPr>
                <w:sz w:val="18"/>
                <w:szCs w:val="18"/>
                <w:lang w:val="zh-TW"/>
              </w:rPr>
            </w:pPr>
            <w:r>
              <w:rPr>
                <w:rFonts w:hint="eastAsia"/>
                <w:sz w:val="18"/>
                <w:szCs w:val="18"/>
                <w:lang w:val="zh-TW"/>
              </w:rPr>
              <w:t>专人送机，乘机返回温馨家园（酒店退房时间为中午12点前）。</w:t>
            </w:r>
          </w:p>
          <w:p>
            <w:pPr>
              <w:spacing w:before="62" w:beforeLines="20" w:after="62" w:afterLines="20"/>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spacing w:before="62" w:beforeLines="20" w:after="62" w:afterLines="20"/>
              <w:rPr>
                <w:sz w:val="18"/>
                <w:szCs w:val="18"/>
                <w:lang w:val="zh-TW"/>
              </w:rPr>
            </w:pPr>
          </w:p>
          <w:p>
            <w:pPr>
              <w:spacing w:before="62" w:beforeLines="20" w:after="62" w:afterLines="20"/>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630"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E60044"/>
              </w:rPr>
            </w:pPr>
            <w: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539" w:hRule="atLeast"/>
          <w:jc w:val="center"/>
        </w:trPr>
        <w:tc>
          <w:tcPr>
            <w:tcW w:w="11225" w:type="dxa"/>
            <w:gridSpan w:val="7"/>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w:t>
            </w:r>
            <w:r>
              <w:rPr>
                <w:rFonts w:hint="eastAsia" w:ascii="宋体" w:hAnsi="宋体"/>
                <w:sz w:val="18"/>
                <w:szCs w:val="18"/>
              </w:rPr>
              <w:t>全程连住一线海边酒店海景房</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升级品鉴</w:t>
            </w:r>
            <w:r>
              <w:rPr>
                <w:rFonts w:hint="eastAsia" w:ascii="宋体" w:hAnsi="宋体"/>
                <w:sz w:val="18"/>
                <w:szCs w:val="18"/>
              </w:rPr>
              <w:t>“蟹鲍海鲜餐1份/人”、</w:t>
            </w:r>
            <w:r>
              <w:rPr>
                <w:rFonts w:hint="eastAsia"/>
                <w:color w:val="262626" w:themeColor="text1" w:themeTint="D9"/>
                <w:sz w:val="18"/>
                <w:szCs w:val="18"/>
                <w14:textFill>
                  <w14:solidFill>
                    <w14:schemeClr w14:val="tx1">
                      <w14:lumMod w14:val="85000"/>
                      <w14:lumOff w14:val="15000"/>
                    </w14:schemeClr>
                  </w14:solidFill>
                </w14:textFill>
              </w:rPr>
              <w:t>“波隆野菜自助餐”、“南山素斋”各</w:t>
            </w:r>
            <w:r>
              <w:rPr>
                <w:color w:val="262626" w:themeColor="text1" w:themeTint="D9"/>
                <w:sz w:val="18"/>
                <w:szCs w:val="18"/>
                <w14:textFill>
                  <w14:solidFill>
                    <w14:schemeClr w14:val="tx1">
                      <w14:lumMod w14:val="85000"/>
                      <w14:lumOff w14:val="15000"/>
                    </w14:schemeClr>
                  </w14:solidFill>
                </w14:textFill>
              </w:rPr>
              <w:t>1</w:t>
            </w:r>
            <w:r>
              <w:rPr>
                <w:rFonts w:hint="eastAsia"/>
                <w:color w:val="262626" w:themeColor="text1" w:themeTint="D9"/>
                <w:sz w:val="18"/>
                <w:szCs w:val="18"/>
                <w14:textFill>
                  <w14:solidFill>
                    <w14:schemeClr w14:val="tx1">
                      <w14:lumMod w14:val="85000"/>
                      <w14:lumOff w14:val="15000"/>
                    </w14:schemeClr>
                  </w14:solidFill>
                </w14:textFill>
              </w:rPr>
              <w:t>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三亚洛克铂金海景酒店：早餐98人/次，1.2米以下儿童免费，每位用餐成员限带一名6岁以下儿童，1.2-1.4米儿童按49元/人收取，1.4米以上按成人收取</w:t>
            </w:r>
          </w:p>
        </w:tc>
      </w:tr>
      <w:tr>
        <w:tblPrEx>
          <w:tblLayout w:type="fixed"/>
          <w:tblCellMar>
            <w:top w:w="113" w:type="dxa"/>
            <w:left w:w="57" w:type="dxa"/>
            <w:bottom w:w="113" w:type="dxa"/>
            <w:right w:w="57" w:type="dxa"/>
          </w:tblCellMar>
        </w:tblPrEx>
        <w:trPr>
          <w:trHeight w:val="452"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524"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大东海酒店、洛克海景、京海、海韵、三亚湾假日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7"/>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513" w:hRule="atLeast"/>
          <w:jc w:val="center"/>
        </w:trPr>
        <w:tc>
          <w:tcPr>
            <w:tcW w:w="11225" w:type="dxa"/>
            <w:gridSpan w:val="7"/>
            <w:tcBorders>
              <w:bottom w:val="single" w:color="E60044" w:sz="4" w:space="0"/>
            </w:tcBorders>
            <w:shd w:val="clear" w:color="auto" w:fill="auto"/>
            <w:vAlign w:val="center"/>
          </w:tcPr>
          <w:p>
            <w:pPr>
              <w:jc w:val="center"/>
              <w:rPr>
                <w:color w:val="E60044"/>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1026" w:hRule="atLeast"/>
          <w:jc w:val="center"/>
        </w:trPr>
        <w:tc>
          <w:tcPr>
            <w:tcW w:w="1188" w:type="dxa"/>
            <w:tcBorders>
              <w:top w:val="single" w:color="E60044" w:sz="4" w:space="0"/>
              <w:left w:val="single" w:color="FFFFFF" w:sz="4" w:space="0"/>
              <w:bottom w:val="single" w:color="E60044"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37" w:type="dxa"/>
            <w:gridSpan w:val="6"/>
            <w:tcBorders>
              <w:top w:val="single" w:color="E60044" w:sz="4" w:space="0"/>
              <w:left w:val="single" w:color="FFFFFF" w:sz="4" w:space="0"/>
              <w:bottom w:val="single" w:color="E60044"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sz w:val="20"/>
                <w:szCs w:val="20"/>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r>
        <w:tblPrEx>
          <w:tblLayout w:type="fixed"/>
          <w:tblCellMar>
            <w:top w:w="113" w:type="dxa"/>
            <w:left w:w="57" w:type="dxa"/>
            <w:bottom w:w="113" w:type="dxa"/>
            <w:right w:w="57" w:type="dxa"/>
          </w:tblCellMar>
        </w:tblPrEx>
        <w:trPr>
          <w:trHeight w:val="459"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gridSpan w:val="6"/>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tbl>
            <w:tblPr>
              <w:tblStyle w:val="6"/>
              <w:tblpPr w:leftFromText="180" w:rightFromText="180" w:vertAnchor="text" w:horzAnchor="page" w:tblpX="415" w:tblpY="93"/>
              <w:tblOverlap w:val="never"/>
              <w:tblW w:w="1122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0购物”解释：我社郑重承诺本线路全程绝不包含及另行增加任何官方或非官方购物店，游客如有购物需求，敬请自行前往，景区内购物，海南部分景区及酒店为方便旅游者有自设的商场及购物场所，并非我社安排的旅游购物店，属于第三方与您之间自愿行为，此类投诉我社无法受理，敬请谅解。“0自费”解释：我社郑重承诺本线路全程不推荐任何自费景点及夜间娱乐项目，但不适用于游客自行自愿所选择的：海上自愿娱乐项目、景区内交通工具及海鲜特色餐。“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315" w:hanging="315"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2697C"/>
    <w:rsid w:val="0002791C"/>
    <w:rsid w:val="00032B26"/>
    <w:rsid w:val="00044851"/>
    <w:rsid w:val="000930E7"/>
    <w:rsid w:val="000C053C"/>
    <w:rsid w:val="000D3503"/>
    <w:rsid w:val="000F552F"/>
    <w:rsid w:val="001358C0"/>
    <w:rsid w:val="0014247A"/>
    <w:rsid w:val="00173EDF"/>
    <w:rsid w:val="00174F26"/>
    <w:rsid w:val="001A5209"/>
    <w:rsid w:val="001E2039"/>
    <w:rsid w:val="00242709"/>
    <w:rsid w:val="00246C49"/>
    <w:rsid w:val="00273771"/>
    <w:rsid w:val="00276C6A"/>
    <w:rsid w:val="00277009"/>
    <w:rsid w:val="002950DF"/>
    <w:rsid w:val="002A4D0B"/>
    <w:rsid w:val="00304843"/>
    <w:rsid w:val="00324018"/>
    <w:rsid w:val="00324C8A"/>
    <w:rsid w:val="003262BC"/>
    <w:rsid w:val="0033315F"/>
    <w:rsid w:val="003458D1"/>
    <w:rsid w:val="00361588"/>
    <w:rsid w:val="00362B1B"/>
    <w:rsid w:val="00375B10"/>
    <w:rsid w:val="004152C3"/>
    <w:rsid w:val="004242E7"/>
    <w:rsid w:val="00451157"/>
    <w:rsid w:val="004618B0"/>
    <w:rsid w:val="00473CE0"/>
    <w:rsid w:val="0048181A"/>
    <w:rsid w:val="00483E92"/>
    <w:rsid w:val="004D5F2B"/>
    <w:rsid w:val="004F6A01"/>
    <w:rsid w:val="00501410"/>
    <w:rsid w:val="00535586"/>
    <w:rsid w:val="005632FF"/>
    <w:rsid w:val="005805A8"/>
    <w:rsid w:val="00585765"/>
    <w:rsid w:val="00606487"/>
    <w:rsid w:val="00607267"/>
    <w:rsid w:val="00615F52"/>
    <w:rsid w:val="00616EC2"/>
    <w:rsid w:val="0065406C"/>
    <w:rsid w:val="00661CE0"/>
    <w:rsid w:val="006B63CB"/>
    <w:rsid w:val="006D7B32"/>
    <w:rsid w:val="006D7CC8"/>
    <w:rsid w:val="00732FC6"/>
    <w:rsid w:val="007605D7"/>
    <w:rsid w:val="00780BF5"/>
    <w:rsid w:val="007C4FCC"/>
    <w:rsid w:val="007D37E3"/>
    <w:rsid w:val="007D7783"/>
    <w:rsid w:val="007E6EF1"/>
    <w:rsid w:val="007F3433"/>
    <w:rsid w:val="0081742C"/>
    <w:rsid w:val="0084497E"/>
    <w:rsid w:val="00872A09"/>
    <w:rsid w:val="00882164"/>
    <w:rsid w:val="00895D73"/>
    <w:rsid w:val="008C2FE6"/>
    <w:rsid w:val="008D350C"/>
    <w:rsid w:val="008F392A"/>
    <w:rsid w:val="009241E4"/>
    <w:rsid w:val="00967927"/>
    <w:rsid w:val="00984B67"/>
    <w:rsid w:val="009861CB"/>
    <w:rsid w:val="009B1B92"/>
    <w:rsid w:val="009E6EBD"/>
    <w:rsid w:val="00A35261"/>
    <w:rsid w:val="00AF1059"/>
    <w:rsid w:val="00B17786"/>
    <w:rsid w:val="00B30C1E"/>
    <w:rsid w:val="00B55630"/>
    <w:rsid w:val="00BF0D67"/>
    <w:rsid w:val="00C24052"/>
    <w:rsid w:val="00C2666A"/>
    <w:rsid w:val="00C51794"/>
    <w:rsid w:val="00CA2C18"/>
    <w:rsid w:val="00CD44F2"/>
    <w:rsid w:val="00D02D09"/>
    <w:rsid w:val="00D35B14"/>
    <w:rsid w:val="00DA1DB7"/>
    <w:rsid w:val="00DB31E6"/>
    <w:rsid w:val="00DC70B7"/>
    <w:rsid w:val="00DF5895"/>
    <w:rsid w:val="00E07845"/>
    <w:rsid w:val="00E16440"/>
    <w:rsid w:val="00E53404"/>
    <w:rsid w:val="00E627C6"/>
    <w:rsid w:val="00ED2584"/>
    <w:rsid w:val="00F06DE7"/>
    <w:rsid w:val="00F10CB4"/>
    <w:rsid w:val="00F2775E"/>
    <w:rsid w:val="00F42E12"/>
    <w:rsid w:val="00F579EB"/>
    <w:rsid w:val="01786AC3"/>
    <w:rsid w:val="02E8169C"/>
    <w:rsid w:val="05EA05B9"/>
    <w:rsid w:val="060B3707"/>
    <w:rsid w:val="07EB79D6"/>
    <w:rsid w:val="09956601"/>
    <w:rsid w:val="0A4C6366"/>
    <w:rsid w:val="0B952A4F"/>
    <w:rsid w:val="0BA115A6"/>
    <w:rsid w:val="0D6367E4"/>
    <w:rsid w:val="14DD2A45"/>
    <w:rsid w:val="150A19EE"/>
    <w:rsid w:val="176554E0"/>
    <w:rsid w:val="17784F52"/>
    <w:rsid w:val="17C82FF6"/>
    <w:rsid w:val="18863276"/>
    <w:rsid w:val="19B36C68"/>
    <w:rsid w:val="1C627327"/>
    <w:rsid w:val="22046744"/>
    <w:rsid w:val="221456E5"/>
    <w:rsid w:val="2436699F"/>
    <w:rsid w:val="258955DB"/>
    <w:rsid w:val="29D65DDA"/>
    <w:rsid w:val="2B4262A0"/>
    <w:rsid w:val="2B430BAE"/>
    <w:rsid w:val="2BE222CE"/>
    <w:rsid w:val="2D0D48B7"/>
    <w:rsid w:val="2D5124B4"/>
    <w:rsid w:val="30DB5145"/>
    <w:rsid w:val="31015BBD"/>
    <w:rsid w:val="31F9170C"/>
    <w:rsid w:val="321B2240"/>
    <w:rsid w:val="327971CA"/>
    <w:rsid w:val="34D92E2C"/>
    <w:rsid w:val="39B73441"/>
    <w:rsid w:val="39E40528"/>
    <w:rsid w:val="3A505AAF"/>
    <w:rsid w:val="3A6401D0"/>
    <w:rsid w:val="3B604E2B"/>
    <w:rsid w:val="3F0E104E"/>
    <w:rsid w:val="40920211"/>
    <w:rsid w:val="44AC71E3"/>
    <w:rsid w:val="455005EE"/>
    <w:rsid w:val="459D00E8"/>
    <w:rsid w:val="4D0C0565"/>
    <w:rsid w:val="4D890873"/>
    <w:rsid w:val="4ECC72E7"/>
    <w:rsid w:val="511D4FF2"/>
    <w:rsid w:val="51FB000A"/>
    <w:rsid w:val="52236754"/>
    <w:rsid w:val="544D468F"/>
    <w:rsid w:val="55A47791"/>
    <w:rsid w:val="58451BBE"/>
    <w:rsid w:val="5A3E454D"/>
    <w:rsid w:val="5AEB4ACB"/>
    <w:rsid w:val="5CF4716A"/>
    <w:rsid w:val="5D1B22F7"/>
    <w:rsid w:val="60AB3B68"/>
    <w:rsid w:val="61A902A4"/>
    <w:rsid w:val="642C2AF2"/>
    <w:rsid w:val="64BD2ACA"/>
    <w:rsid w:val="66D33328"/>
    <w:rsid w:val="687B7117"/>
    <w:rsid w:val="690C064F"/>
    <w:rsid w:val="693050C2"/>
    <w:rsid w:val="69534E8F"/>
    <w:rsid w:val="6B180247"/>
    <w:rsid w:val="6D301E87"/>
    <w:rsid w:val="6F6E2C29"/>
    <w:rsid w:val="6FFC6A05"/>
    <w:rsid w:val="701E7300"/>
    <w:rsid w:val="71FF0EAE"/>
    <w:rsid w:val="738E2FE7"/>
    <w:rsid w:val="73A7096F"/>
    <w:rsid w:val="740C1D6B"/>
    <w:rsid w:val="74535614"/>
    <w:rsid w:val="760072F8"/>
    <w:rsid w:val="76865A7E"/>
    <w:rsid w:val="778B1DFE"/>
    <w:rsid w:val="798B285C"/>
    <w:rsid w:val="7A215CB8"/>
    <w:rsid w:val="7C100E4F"/>
    <w:rsid w:val="7E140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F728A8-B6F4-496E-9DF1-2324B645FD3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4889</Words>
  <Characters>297</Characters>
  <Lines>2</Lines>
  <Paragraphs>10</Paragraphs>
  <TotalTime>160</TotalTime>
  <ScaleCrop>false</ScaleCrop>
  <LinksUpToDate>false</LinksUpToDate>
  <CharactersWithSpaces>5176</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2019-08-14T08:31:28Z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