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97152" behindDoc="1" locked="0" layoutInCell="1" allowOverlap="1">
            <wp:simplePos x="0" y="0"/>
            <wp:positionH relativeFrom="column">
              <wp:posOffset>-190500</wp:posOffset>
            </wp:positionH>
            <wp:positionV relativeFrom="paragraph">
              <wp:posOffset>-133350</wp:posOffset>
            </wp:positionV>
            <wp:extent cx="7493635" cy="10596245"/>
            <wp:effectExtent l="0" t="0" r="12065" b="14605"/>
            <wp:wrapNone/>
            <wp:docPr id="6" name="图片 6" descr="b45b163257fc11a883c30a73047b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5b163257fc11a883c30a73047b313"/>
                    <pic:cNvPicPr>
                      <a:picLocks noChangeAspect="1"/>
                    </pic:cNvPicPr>
                  </pic:nvPicPr>
                  <pic:blipFill>
                    <a:blip r:embed="rId6"/>
                    <a:stretch>
                      <a:fillRect/>
                    </a:stretch>
                  </pic:blipFill>
                  <pic:spPr>
                    <a:xfrm>
                      <a:off x="0" y="0"/>
                      <a:ext cx="7493635" cy="10596245"/>
                    </a:xfrm>
                    <a:prstGeom prst="rect">
                      <a:avLst/>
                    </a:prstGeom>
                  </pic:spPr>
                </pic:pic>
              </a:graphicData>
            </a:graphic>
          </wp:anchor>
        </w:drawing>
      </w:r>
      <w:r>
        <w:drawing>
          <wp:anchor distT="0" distB="0" distL="114300" distR="114300" simplePos="0" relativeHeight="251696128" behindDoc="0" locked="0" layoutInCell="1" allowOverlap="1">
            <wp:simplePos x="0" y="0"/>
            <wp:positionH relativeFrom="column">
              <wp:posOffset>-74930</wp:posOffset>
            </wp:positionH>
            <wp:positionV relativeFrom="paragraph">
              <wp:posOffset>-7861300</wp:posOffset>
            </wp:positionV>
            <wp:extent cx="574675" cy="343535"/>
            <wp:effectExtent l="0" t="0" r="0" b="0"/>
            <wp:wrapNone/>
            <wp:docPr id="8" name="图片 8"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等待标志"/>
                    <pic:cNvPicPr>
                      <a:picLocks noChangeAspect="1"/>
                    </pic:cNvPicPr>
                  </pic:nvPicPr>
                  <pic:blipFill>
                    <a:blip r:embed="rId7"/>
                    <a:stretch>
                      <a:fillRect/>
                    </a:stretch>
                  </pic:blipFill>
                  <pic:spPr>
                    <a:xfrm>
                      <a:off x="0" y="0"/>
                      <a:ext cx="574675" cy="343535"/>
                    </a:xfrm>
                    <a:prstGeom prst="rect">
                      <a:avLst/>
                    </a:prstGeom>
                  </pic:spPr>
                </pic:pic>
              </a:graphicData>
            </a:graphic>
          </wp:anchor>
        </w:drawing>
      </w:r>
      <w:r>
        <w:br w:type="page"/>
      </w:r>
    </w:p>
    <w:p>
      <w:r>
        <w:drawing>
          <wp:anchor distT="0" distB="0" distL="114300" distR="114300" simplePos="0" relativeHeight="251667456" behindDoc="0" locked="0" layoutInCell="1" allowOverlap="1">
            <wp:simplePos x="0" y="0"/>
            <wp:positionH relativeFrom="column">
              <wp:posOffset>-215900</wp:posOffset>
            </wp:positionH>
            <wp:positionV relativeFrom="paragraph">
              <wp:posOffset>-207645</wp:posOffset>
            </wp:positionV>
            <wp:extent cx="7551420" cy="10681970"/>
            <wp:effectExtent l="0" t="0" r="0"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10681970"/>
                    </a:xfrm>
                    <a:prstGeom prst="rect">
                      <a:avLst/>
                    </a:prstGeom>
                  </pic:spPr>
                </pic:pic>
              </a:graphicData>
            </a:graphic>
          </wp:anchor>
        </w:drawing>
      </w:r>
      <w:r>
        <w:br w:type="page"/>
      </w:r>
    </w:p>
    <w:p>
      <w:pPr>
        <w:spacing w:line="280" w:lineRule="exact"/>
      </w:pPr>
      <w:r>
        <w:drawing>
          <wp:anchor distT="0" distB="0" distL="114300" distR="114300" simplePos="0" relativeHeight="251693056" behindDoc="0" locked="0" layoutInCell="1" allowOverlap="1">
            <wp:simplePos x="0" y="0"/>
            <wp:positionH relativeFrom="column">
              <wp:posOffset>-215900</wp:posOffset>
            </wp:positionH>
            <wp:positionV relativeFrom="paragraph">
              <wp:posOffset>-213995</wp:posOffset>
            </wp:positionV>
            <wp:extent cx="7557770" cy="10687685"/>
            <wp:effectExtent l="0" t="0" r="5080" b="18415"/>
            <wp:wrapSquare wrapText="bothSides"/>
            <wp:docPr id="1" name="图片 1" descr="\\192.168.71.212\产品设计部共享\03康泰科目\02营销广告\12-产品源文件\01、跟团游\06-荣耀时光\荣耀时光-海边版\荣耀时光-海边版行程插图-P3.jpg荣耀时光-海边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168.71.212\产品设计部共享\03康泰科目\02营销广告\12-产品源文件\01、跟团游\06-荣耀时光\荣耀时光-海边版\荣耀时光-海边版行程插图-P3.jpg荣耀时光-海边版行程插图-P3"/>
                    <pic:cNvPicPr>
                      <a:picLocks noChangeAspect="1"/>
                    </pic:cNvPicPr>
                  </pic:nvPicPr>
                  <pic:blipFill>
                    <a:blip r:embed="rId9"/>
                    <a:srcRect/>
                    <a:stretch>
                      <a:fillRect/>
                    </a:stretch>
                  </pic:blipFill>
                  <pic:spPr>
                    <a:xfrm>
                      <a:off x="0" y="0"/>
                      <a:ext cx="7557770" cy="10687685"/>
                    </a:xfrm>
                    <a:prstGeom prst="rect">
                      <a:avLst/>
                    </a:prstGeom>
                  </pic:spPr>
                </pic:pic>
              </a:graphicData>
            </a:graphic>
          </wp:anchor>
        </w:drawing>
      </w:r>
    </w:p>
    <w:p>
      <w:r>
        <w:drawing>
          <wp:anchor distT="0" distB="0" distL="114300" distR="114300" simplePos="0" relativeHeight="251694080" behindDoc="0" locked="0" layoutInCell="1" allowOverlap="1">
            <wp:simplePos x="0" y="0"/>
            <wp:positionH relativeFrom="column">
              <wp:posOffset>-215900</wp:posOffset>
            </wp:positionH>
            <wp:positionV relativeFrom="paragraph">
              <wp:posOffset>-215900</wp:posOffset>
            </wp:positionV>
            <wp:extent cx="7547610" cy="1067625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7610" cy="10676255"/>
                    </a:xfrm>
                    <a:prstGeom prst="rect">
                      <a:avLst/>
                    </a:prstGeom>
                  </pic:spPr>
                </pic:pic>
              </a:graphicData>
            </a:graphic>
          </wp:anchor>
        </w:drawing>
      </w:r>
      <w:r>
        <w:br w:type="page"/>
      </w:r>
    </w:p>
    <w:tbl>
      <w:tblPr>
        <w:tblStyle w:val="6"/>
        <w:tblW w:w="11225" w:type="dxa"/>
        <w:jc w:val="center"/>
        <w:tblLayout w:type="fixed"/>
        <w:tblCellMar>
          <w:top w:w="57" w:type="dxa"/>
          <w:left w:w="57" w:type="dxa"/>
          <w:bottom w:w="57" w:type="dxa"/>
          <w:right w:w="57" w:type="dxa"/>
        </w:tblCellMar>
      </w:tblPr>
      <w:tblGrid>
        <w:gridCol w:w="1863"/>
        <w:gridCol w:w="6478"/>
        <w:gridCol w:w="7"/>
        <w:gridCol w:w="300"/>
        <w:gridCol w:w="2577"/>
      </w:tblGrid>
      <w:tr>
        <w:tblPrEx>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荣耀时光（海边版）</w:t>
            </w:r>
          </w:p>
        </w:tc>
      </w:tr>
      <w:tr>
        <w:tblPrEx>
          <w:tblCellMar>
            <w:top w:w="57" w:type="dxa"/>
            <w:left w:w="57" w:type="dxa"/>
            <w:bottom w:w="57" w:type="dxa"/>
            <w:right w:w="57" w:type="dxa"/>
          </w:tblCellMar>
        </w:tblPrEx>
        <w:trPr>
          <w:trHeight w:val="446" w:hRule="atLeast"/>
          <w:jc w:val="center"/>
        </w:trPr>
        <w:tc>
          <w:tcPr>
            <w:tcW w:w="8348" w:type="dxa"/>
            <w:gridSpan w:val="3"/>
            <w:tcBorders>
              <w:bottom w:val="single" w:color="E60044"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E60044"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cs="Arial" w:asciiTheme="minorEastAsia" w:hAnsiTheme="minorEastAsia"/>
                <w:b/>
                <w:bCs/>
                <w:color w:val="E60044"/>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住有面子：</w:t>
            </w:r>
          </w:p>
          <w:p>
            <w:pPr>
              <w:pStyle w:val="5"/>
              <w:spacing w:before="62" w:beforeLines="20" w:beforeAutospacing="0" w:after="62" w:afterLines="2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 xml:space="preserve">三亚一地，全程连住海边酒店，免行李搬运烦扰。 </w:t>
            </w:r>
          </w:p>
          <w:p>
            <w:pPr>
              <w:spacing w:line="280" w:lineRule="exact"/>
              <w:rPr>
                <w:rFonts w:cs="Arial" w:asciiTheme="minorEastAsia" w:hAnsiTheme="minorEastAsia"/>
                <w:b/>
                <w:bCs/>
                <w:color w:val="E60044"/>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玩有面子：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三大5A搭配双4A景区，赠海景摩天轮，5A海岛蜈支洲</w:t>
            </w:r>
            <w:r>
              <w:rPr>
                <w:rFonts w:hint="eastAsia" w:ascii="宋体" w:hAnsi="宋体" w:cs="Times New Roman"/>
                <w:b w:val="0"/>
                <w:bCs w:val="0"/>
                <w:color w:val="262626" w:themeColor="text1" w:themeTint="D9"/>
                <w:kern w:val="0"/>
                <w:sz w:val="18"/>
                <w:szCs w:val="18"/>
                <w:lang w:eastAsia="zh-CN"/>
                <w14:textFill>
                  <w14:solidFill>
                    <w14:schemeClr w14:val="tx1">
                      <w14:lumMod w14:val="85000"/>
                      <w14:lumOff w14:val="15000"/>
                    </w14:schemeClr>
                  </w14:solidFill>
                </w14:textFill>
              </w:rPr>
              <w:t>（</w:t>
            </w:r>
            <w:r>
              <w:rPr>
                <w:rFonts w:hint="eastAsia"/>
                <w:b w:val="0"/>
                <w:bCs w:val="0"/>
                <w:color w:val="262626" w:themeColor="text1" w:themeTint="D9"/>
                <w:sz w:val="18"/>
                <w:szCs w:val="18"/>
                <w:lang w:eastAsia="zh-CN"/>
                <w14:textFill>
                  <w14:solidFill>
                    <w14:schemeClr w14:val="tx1">
                      <w14:lumMod w14:val="85000"/>
                      <w14:lumOff w14:val="15000"/>
                    </w14:schemeClr>
                  </w14:solidFill>
                </w14:textFill>
              </w:rPr>
              <w:t>快速上下岛通道节约</w:t>
            </w:r>
            <w:r>
              <w:rPr>
                <w:rFonts w:hint="eastAsia"/>
                <w:b w:val="0"/>
                <w:bCs w:val="0"/>
                <w:color w:val="262626" w:themeColor="text1" w:themeTint="D9"/>
                <w:sz w:val="18"/>
                <w:szCs w:val="18"/>
                <w:lang w:val="en-US" w:eastAsia="zh-CN"/>
                <w14:textFill>
                  <w14:solidFill>
                    <w14:schemeClr w14:val="tx1">
                      <w14:lumMod w14:val="85000"/>
                      <w14:lumOff w14:val="15000"/>
                    </w14:schemeClr>
                  </w14:solidFill>
                </w14:textFill>
              </w:rPr>
              <w:t>2小时</w:t>
            </w:r>
            <w:r>
              <w:rPr>
                <w:rFonts w:hint="eastAsia" w:ascii="宋体" w:hAnsi="宋体" w:cs="Times New Roman"/>
                <w:b w:val="0"/>
                <w:bCs w:val="0"/>
                <w:color w:val="262626" w:themeColor="text1" w:themeTint="D9"/>
                <w:kern w:val="0"/>
                <w:sz w:val="18"/>
                <w:szCs w:val="18"/>
                <w:lang w:eastAsia="zh-CN"/>
                <w14:textFill>
                  <w14:solidFill>
                    <w14:schemeClr w14:val="tx1">
                      <w14:lumMod w14:val="85000"/>
                      <w14:lumOff w14:val="15000"/>
                    </w14:schemeClr>
                  </w14:solidFill>
                </w14:textFill>
              </w:rPr>
              <w:t>）</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、5A民俗槟榔谷、5A佛境南山、4A雨林亚龙湾热带天堂森林公园、4A经典天涯海角、HOT新地标三亚国际免税城；每天2个景点，轻松行程深度体验。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吃有面子：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正餐标30元/人，升级品鉴“蟹鲍海鲜餐1份/人”、“波隆野菜自助餐”、“南山素斋”、各1次</w:t>
            </w:r>
          </w:p>
          <w:p>
            <w:pPr>
              <w:pStyle w:val="5"/>
              <w:spacing w:before="62" w:beforeLines="20" w:beforeAutospacing="0" w:after="62" w:afterLines="20" w:afterAutospacing="0" w:line="250" w:lineRule="exact"/>
              <w:jc w:val="both"/>
              <w:rPr>
                <w:color w:val="262626" w:themeColor="text1" w:themeTint="D9"/>
                <w:sz w:val="18"/>
                <w:szCs w:val="18"/>
                <w14:textFill>
                  <w14:solidFill>
                    <w14:schemeClr w14:val="tx1">
                      <w14:lumMod w14:val="85000"/>
                      <w14:lumOff w14:val="15000"/>
                    </w14:schemeClr>
                  </w14:solidFill>
                </w14:textFill>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pStyle w:val="5"/>
              <w:spacing w:before="62" w:beforeLines="20" w:beforeAutospacing="0" w:after="62" w:afterLines="2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0购物，全程不增加行程外购物点、不更换景点、不压缩游览时间。</w:t>
            </w:r>
          </w:p>
          <w:p>
            <w:pPr>
              <w:pStyle w:val="5"/>
              <w:spacing w:before="62" w:beforeLines="20" w:beforeAutospacing="0" w:after="62" w:afterLines="20" w:afterAutospacing="0" w:line="250" w:lineRule="exact"/>
              <w:jc w:val="both"/>
              <w:rPr>
                <w:color w:val="262626" w:themeColor="text1" w:themeTint="D9"/>
                <w:sz w:val="18"/>
                <w:szCs w:val="18"/>
                <w14:textFill>
                  <w14:solidFill>
                    <w14:schemeClr w14:val="tx1">
                      <w14:lumMod w14:val="85000"/>
                      <w14:lumOff w14:val="15000"/>
                    </w14:schemeClr>
                  </w14:solidFill>
                </w14:textFill>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经典赠送：</w:t>
            </w:r>
          </w:p>
          <w:p>
            <w:pPr>
              <w:pStyle w:val="5"/>
              <w:spacing w:before="62" w:beforeLines="20" w:beforeAutospacing="0" w:after="62" w:afterLines="20" w:afterAutospacing="0" w:line="250" w:lineRule="exact"/>
              <w:jc w:val="both"/>
              <w:rPr>
                <w:sz w:val="20"/>
              </w:rPr>
            </w:pPr>
            <w:r>
              <w:rPr>
                <w:rFonts w:hint="eastAsia"/>
                <w:color w:val="262626" w:themeColor="text1" w:themeTint="D9"/>
                <w:sz w:val="18"/>
                <w:szCs w:val="18"/>
                <w14:textFill>
                  <w14:solidFill>
                    <w14:schemeClr w14:val="tx1">
                      <w14:lumMod w14:val="85000"/>
                      <w14:lumOff w14:val="15000"/>
                    </w14:schemeClr>
                  </w14:solidFill>
                </w14:textFill>
              </w:rPr>
              <w:t>全程品牌矿泉水1瓶/人/天、旅行社责任险。</w:t>
            </w:r>
          </w:p>
        </w:tc>
      </w:tr>
      <w:tr>
        <w:tblPrEx>
          <w:tblCellMar>
            <w:top w:w="57" w:type="dxa"/>
            <w:left w:w="57" w:type="dxa"/>
            <w:bottom w:w="57" w:type="dxa"/>
            <w:right w:w="57" w:type="dxa"/>
          </w:tblCellMar>
        </w:tblPrEx>
        <w:trPr>
          <w:trHeight w:val="1271" w:hRule="atLeast"/>
          <w:jc w:val="center"/>
        </w:trPr>
        <w:tc>
          <w:tcPr>
            <w:tcW w:w="1863"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before="62" w:beforeLines="20" w:after="62" w:afterLines="20"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62" w:beforeLines="20" w:after="62" w:afterLines="20"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2673"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 xml:space="preserve">三亚国际免税城 </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w:t>
            </w:r>
            <w:r>
              <w:rPr>
                <w:rFonts w:hint="eastAsia"/>
                <w:b/>
                <w:bCs/>
                <w:color w:val="262626" w:themeColor="text1" w:themeTint="D9"/>
                <w:sz w:val="18"/>
                <w:szCs w:val="18"/>
                <w:lang w:eastAsia="zh-CN"/>
                <w14:textFill>
                  <w14:solidFill>
                    <w14:schemeClr w14:val="tx1">
                      <w14:lumMod w14:val="85000"/>
                      <w14:lumOff w14:val="15000"/>
                    </w14:schemeClr>
                  </w14:solidFill>
                </w14:textFill>
              </w:rPr>
              <w:t>快速上下岛通道节约</w:t>
            </w:r>
            <w:r>
              <w:rPr>
                <w:rFonts w:hint="eastAsia"/>
                <w:b/>
                <w:bCs/>
                <w:color w:val="262626" w:themeColor="text1" w:themeTint="D9"/>
                <w:sz w:val="18"/>
                <w:szCs w:val="18"/>
                <w:lang w:val="en-US" w:eastAsia="zh-CN"/>
                <w14:textFill>
                  <w14:solidFill>
                    <w14:schemeClr w14:val="tx1">
                      <w14:lumMod w14:val="85000"/>
                      <w14:lumOff w14:val="15000"/>
                    </w14:schemeClr>
                  </w14:solidFill>
                </w14:textFill>
              </w:rPr>
              <w:t>2小时</w:t>
            </w:r>
            <w:r>
              <w:rPr>
                <w:rFonts w:hint="eastAsia"/>
                <w:b/>
                <w:bCs/>
                <w:color w:val="262626" w:themeColor="text1" w:themeTint="D9"/>
                <w:sz w:val="18"/>
                <w:szCs w:val="18"/>
                <w:lang w:eastAsia="zh-CN"/>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line="280" w:lineRule="exact"/>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r>
              <w:rPr>
                <w:rFonts w:hint="eastAsia"/>
              </w:rPr>
              <w:t xml:space="preserve">  </w:t>
            </w:r>
          </w:p>
          <w:p>
            <w:pPr>
              <w:spacing w:before="62" w:beforeLines="20" w:after="62" w:afterLines="20" w:line="280" w:lineRule="exact"/>
              <w:rPr>
                <w:sz w:val="18"/>
                <w:szCs w:val="18"/>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449"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 xml:space="preserve">亚龙湾热带天堂森林公园 </w:t>
            </w:r>
            <w:r>
              <w:rPr>
                <w:rFonts w:hint="eastAsia"/>
                <w:b/>
                <w:color w:val="E60044"/>
                <w:sz w:val="18"/>
                <w:szCs w:val="18"/>
              </w:rPr>
              <w:t>—赠海景摩天轮</w:t>
            </w:r>
          </w:p>
          <w:p>
            <w:pPr>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62" w:beforeLines="20" w:after="62" w:afterLines="20"/>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中餐：波隆野菜自助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017"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80" w:lineRule="exact"/>
              <w:rPr>
                <w:b/>
                <w:color w:val="E60044"/>
                <w:sz w:val="18"/>
                <w:szCs w:val="18"/>
              </w:rPr>
            </w:pPr>
            <w:r>
              <w:rPr>
                <w:rFonts w:hint="eastAsia"/>
                <w:color w:val="E60044"/>
                <w:sz w:val="18"/>
                <w:szCs w:val="18"/>
              </w:rPr>
              <w:t>景点安排：</w:t>
            </w:r>
            <w:r>
              <w:rPr>
                <w:rFonts w:hint="eastAsia"/>
                <w:b/>
                <w:bCs/>
                <w:color w:val="E60044"/>
                <w:sz w:val="18"/>
                <w:szCs w:val="18"/>
              </w:rPr>
              <w:t>南山佛教文化苑</w:t>
            </w:r>
            <w:r>
              <w:rPr>
                <w:rFonts w:hint="eastAsia"/>
                <w:color w:val="E60044"/>
                <w:sz w:val="18"/>
                <w:szCs w:val="18"/>
              </w:rPr>
              <w:t>—</w:t>
            </w:r>
            <w:r>
              <w:rPr>
                <w:rFonts w:hint="eastAsia"/>
                <w:b/>
                <w:color w:val="E60044"/>
                <w:sz w:val="18"/>
                <w:szCs w:val="18"/>
              </w:rPr>
              <w:t>天涯海角</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62" w:beforeLines="20" w:after="62" w:afterLines="2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1171"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60" w:lineRule="exact"/>
              <w:rPr>
                <w:sz w:val="18"/>
                <w:szCs w:val="18"/>
                <w:lang w:val="zh-TW"/>
              </w:rPr>
            </w:pPr>
            <w:r>
              <w:rPr>
                <w:rFonts w:hint="eastAsia"/>
                <w:sz w:val="18"/>
                <w:szCs w:val="18"/>
                <w:lang w:val="zh-TW"/>
              </w:rPr>
              <w:t>自由活动的一天，美丽的海南岛依旧是美好的一天，清新的空气，舒适的海风，碧蓝的天空，慢生活节奏，尽情享受美妙海岛时光！</w:t>
            </w:r>
          </w:p>
          <w:p>
            <w:pPr>
              <w:spacing w:before="62" w:beforeLines="20" w:after="62" w:afterLines="20" w:line="260" w:lineRule="exact"/>
              <w:rPr>
                <w:b/>
                <w:sz w:val="18"/>
                <w:szCs w:val="18"/>
                <w:lang w:val="zh-TW"/>
              </w:rPr>
            </w:pPr>
            <w:r>
              <w:rPr>
                <w:rFonts w:hint="eastAsia"/>
                <w:b/>
                <w:sz w:val="18"/>
                <w:szCs w:val="18"/>
                <w:lang w:val="zh-TW"/>
              </w:rPr>
              <w:t>自由活动·轻奢一日游线路推荐，管家服务预订热线：李晨霞 182 0896 0886</w:t>
            </w:r>
          </w:p>
          <w:p>
            <w:pPr>
              <w:spacing w:before="62" w:beforeLines="20" w:after="62" w:afterLines="20" w:line="260" w:lineRule="exact"/>
              <w:rPr>
                <w:sz w:val="18"/>
                <w:szCs w:val="18"/>
                <w:lang w:val="zh-TW"/>
              </w:rPr>
            </w:pPr>
            <w:r>
              <w:rPr>
                <w:rFonts w:hint="eastAsia"/>
                <w:sz w:val="18"/>
                <w:szCs w:val="18"/>
                <w:lang w:val="zh-TW"/>
              </w:rPr>
              <w:t>一键开启豪华游艇度假模式，出海的感觉只有一个字儿“爽翻天”，人少，景美，极目海天一色，一次满足对夏日的渴望！</w:t>
            </w:r>
          </w:p>
          <w:p>
            <w:pPr>
              <w:spacing w:before="62" w:beforeLines="20" w:after="62" w:afterLines="20" w:line="260" w:lineRule="exact"/>
              <w:rPr>
                <w:b/>
                <w:sz w:val="18"/>
                <w:szCs w:val="18"/>
                <w:lang w:val="zh-TW"/>
              </w:rPr>
            </w:pPr>
            <w:r>
              <w:rPr>
                <w:rFonts w:hint="eastAsia"/>
                <w:b/>
                <w:sz w:val="18"/>
                <w:szCs w:val="18"/>
                <w:lang w:val="zh-TW"/>
              </w:rPr>
              <w:t>线路特色：</w:t>
            </w:r>
          </w:p>
          <w:p>
            <w:pPr>
              <w:spacing w:before="62" w:beforeLines="20" w:after="62" w:afterLines="20" w:line="260" w:lineRule="exact"/>
              <w:rPr>
                <w:sz w:val="18"/>
                <w:szCs w:val="18"/>
                <w:lang w:val="zh-TW"/>
              </w:rPr>
            </w:pPr>
            <w:r>
              <w:rPr>
                <w:rFonts w:hint="eastAsia"/>
                <w:sz w:val="18"/>
                <w:szCs w:val="18"/>
                <w:lang w:val="zh-TW"/>
              </w:rPr>
              <w:t>登上游艇海观美丽的小青州海域，沿途欣赏鹿回头（情山），凤凰岛（东方迪拜）、专业讲解登船前讲解海洋文化知识及游玩活动中的注意事项，海上游艇互动体验包含与不包含，体会海上生活的乐趣。手续齐全，全程保险，放心玩尽兴！</w:t>
            </w:r>
          </w:p>
          <w:p>
            <w:pPr>
              <w:spacing w:before="62" w:beforeLines="20" w:after="62" w:afterLines="20" w:line="260" w:lineRule="exact"/>
              <w:rPr>
                <w:sz w:val="18"/>
                <w:szCs w:val="18"/>
                <w:lang w:val="zh-TW"/>
              </w:rPr>
            </w:pPr>
            <w:r>
              <w:rPr>
                <w:rFonts w:hint="eastAsia"/>
                <w:sz w:val="18"/>
                <w:szCs w:val="18"/>
                <w:lang w:val="zh-TW"/>
              </w:rPr>
              <w:t>奢华游艇包含:</w:t>
            </w:r>
          </w:p>
          <w:p>
            <w:pPr>
              <w:spacing w:before="62" w:beforeLines="20" w:after="62" w:afterLines="20" w:line="260" w:lineRule="exact"/>
              <w:rPr>
                <w:sz w:val="18"/>
                <w:szCs w:val="18"/>
                <w:lang w:val="zh-TW"/>
              </w:rPr>
            </w:pPr>
            <w:r>
              <w:rPr>
                <w:rFonts w:hint="eastAsia"/>
                <w:sz w:val="18"/>
                <w:szCs w:val="18"/>
                <w:lang w:val="zh-TW"/>
              </w:rPr>
              <w:t>均为三层游艇结构、多功能厅，卧室，沙发，洗手间，360度观景平台，船尾沙龙区，冲谈区</w:t>
            </w:r>
          </w:p>
          <w:p>
            <w:pPr>
              <w:spacing w:before="62" w:beforeLines="20" w:after="62" w:afterLines="20" w:line="260" w:lineRule="exact"/>
              <w:rPr>
                <w:b/>
                <w:sz w:val="18"/>
                <w:szCs w:val="18"/>
              </w:rPr>
            </w:pPr>
            <w:r>
              <w:rPr>
                <w:rFonts w:hint="eastAsia"/>
                <w:b/>
                <w:sz w:val="18"/>
                <w:szCs w:val="18"/>
                <w:lang w:val="zh-TW"/>
              </w:rPr>
              <w:t>包含内容：</w:t>
            </w:r>
          </w:p>
          <w:p>
            <w:pPr>
              <w:spacing w:before="62" w:beforeLines="20" w:after="62" w:afterLines="20" w:line="260" w:lineRule="exact"/>
              <w:rPr>
                <w:sz w:val="18"/>
                <w:szCs w:val="18"/>
                <w:lang w:val="zh-TW"/>
              </w:rPr>
            </w:pPr>
            <w:r>
              <w:rPr>
                <w:rFonts w:hint="eastAsia"/>
                <w:sz w:val="18"/>
                <w:szCs w:val="18"/>
                <w:lang w:val="zh-TW"/>
              </w:rPr>
              <w:t>①、私家飞桥游艇出海3小时；</w:t>
            </w:r>
          </w:p>
          <w:p>
            <w:pPr>
              <w:spacing w:before="62" w:beforeLines="20" w:after="62" w:afterLines="20" w:line="260" w:lineRule="exact"/>
              <w:rPr>
                <w:sz w:val="18"/>
                <w:szCs w:val="18"/>
                <w:lang w:val="zh-TW"/>
              </w:rPr>
            </w:pPr>
            <w:r>
              <w:rPr>
                <w:rFonts w:hint="eastAsia"/>
                <w:sz w:val="18"/>
                <w:szCs w:val="18"/>
                <w:lang w:val="zh-TW"/>
              </w:rPr>
              <w:t>②、红酒啤酒、热带时令果盘、欢迎饮料（矿泉水、饮料）、南国特色小吃、咖啡红茶、冰块保温箱；</w:t>
            </w:r>
          </w:p>
          <w:p>
            <w:pPr>
              <w:spacing w:before="62" w:beforeLines="20" w:after="62" w:afterLines="20" w:line="260" w:lineRule="exact"/>
              <w:rPr>
                <w:sz w:val="18"/>
                <w:szCs w:val="18"/>
                <w:lang w:val="zh-TW"/>
              </w:rPr>
            </w:pPr>
            <w:r>
              <w:rPr>
                <w:rFonts w:hint="eastAsia"/>
                <w:sz w:val="18"/>
                <w:szCs w:val="18"/>
                <w:lang w:val="zh-TW"/>
              </w:rPr>
              <w:t>③、海钓鱼竿、鱼饵、下一个姜子牙就是你；</w:t>
            </w:r>
          </w:p>
          <w:p>
            <w:pPr>
              <w:spacing w:before="62" w:beforeLines="20" w:after="62" w:afterLines="20" w:line="260" w:lineRule="exact"/>
              <w:rPr>
                <w:sz w:val="18"/>
                <w:szCs w:val="18"/>
                <w:lang w:val="zh-TW"/>
              </w:rPr>
            </w:pPr>
            <w:r>
              <w:rPr>
                <w:rFonts w:hint="eastAsia"/>
                <w:sz w:val="18"/>
                <w:szCs w:val="18"/>
                <w:lang w:val="zh-TW"/>
              </w:rPr>
              <w:t>④、炫酷海天飞龙真人表演</w:t>
            </w:r>
          </w:p>
          <w:p>
            <w:pPr>
              <w:spacing w:before="62" w:beforeLines="20" w:after="62" w:afterLines="20" w:line="260" w:lineRule="exact"/>
              <w:rPr>
                <w:sz w:val="18"/>
                <w:szCs w:val="18"/>
                <w:lang w:val="zh-TW"/>
              </w:rPr>
            </w:pPr>
            <w:r>
              <w:rPr>
                <w:rFonts w:hint="eastAsia"/>
                <w:sz w:val="18"/>
                <w:szCs w:val="18"/>
                <w:lang w:val="zh-TW"/>
              </w:rPr>
              <w:t>⑤、游艇驾驶摆拍体验 ,让你当一次做船长的感觉；</w:t>
            </w:r>
          </w:p>
          <w:p>
            <w:pPr>
              <w:spacing w:before="62" w:beforeLines="20" w:after="62" w:afterLines="20" w:line="260" w:lineRule="exact"/>
              <w:rPr>
                <w:sz w:val="18"/>
                <w:szCs w:val="18"/>
                <w:lang w:val="zh-TW"/>
              </w:rPr>
            </w:pPr>
            <w:r>
              <w:rPr>
                <w:rFonts w:hint="eastAsia"/>
                <w:sz w:val="18"/>
                <w:szCs w:val="18"/>
                <w:lang w:val="zh-TW"/>
              </w:rPr>
              <w:t>⑥、珊瑚礁潜水包含（面镜、氧气瓶、救生衣、潜水服、教练1对1）需购买咬嘴50元/人，窥视海底秘密；</w:t>
            </w:r>
          </w:p>
          <w:p>
            <w:pPr>
              <w:spacing w:before="62" w:beforeLines="20" w:after="62" w:afterLines="20" w:line="260" w:lineRule="exact"/>
              <w:rPr>
                <w:sz w:val="18"/>
                <w:szCs w:val="18"/>
                <w:lang w:val="zh-TW"/>
              </w:rPr>
            </w:pPr>
            <w:r>
              <w:rPr>
                <w:rFonts w:hint="eastAsia"/>
                <w:sz w:val="18"/>
                <w:szCs w:val="18"/>
                <w:lang w:val="zh-TW"/>
              </w:rPr>
              <w:t>⑦、摩托艇体验可自驾（体验2-3分钟）激情与速度完美展现；</w:t>
            </w:r>
          </w:p>
          <w:p>
            <w:pPr>
              <w:spacing w:before="62" w:beforeLines="20" w:after="62" w:afterLines="20" w:line="260" w:lineRule="exact"/>
              <w:rPr>
                <w:sz w:val="18"/>
                <w:szCs w:val="18"/>
                <w:lang w:val="zh-TW"/>
              </w:rPr>
            </w:pPr>
            <w:r>
              <w:rPr>
                <w:rFonts w:hint="eastAsia"/>
                <w:sz w:val="18"/>
                <w:szCs w:val="18"/>
                <w:lang w:val="zh-TW"/>
              </w:rPr>
              <w:t>⑧、仿航拍动感小视频网红抖音视频15秒，这个视频里的你，美过美颜相机！超大广角、高空视觉效果拍摄出属于你的游艇航海度假视频，拒绝游客拍、拒绝大头拍、视频更能记录真实的你！</w:t>
            </w:r>
          </w:p>
          <w:tbl>
            <w:tblPr>
              <w:tblStyle w:val="7"/>
              <w:tblpPr w:leftFromText="180" w:rightFromText="180" w:vertAnchor="text" w:tblpXSpec="center" w:tblpY="328"/>
              <w:tblOverlap w:val="never"/>
              <w:tblW w:w="58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276"/>
              <w:gridCol w:w="1134"/>
              <w:gridCol w:w="992"/>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418" w:type="dxa"/>
                  <w:tcBorders>
                    <w:tl2br w:val="nil"/>
                    <w:tr2bl w:val="nil"/>
                  </w:tcBorders>
                  <w:shd w:val="clear" w:color="auto" w:fill="D7D7D7" w:themeFill="background1" w:themeFillShade="D8"/>
                  <w:vAlign w:val="center"/>
                </w:tcPr>
                <w:p>
                  <w:pPr>
                    <w:spacing w:line="360" w:lineRule="auto"/>
                    <w:jc w:val="center"/>
                    <w:rPr>
                      <w:sz w:val="18"/>
                      <w:szCs w:val="18"/>
                      <w:lang w:val="zh-TW"/>
                    </w:rPr>
                  </w:pPr>
                  <w:r>
                    <w:rPr>
                      <w:rFonts w:hint="eastAsia"/>
                      <w:sz w:val="18"/>
                      <w:szCs w:val="18"/>
                      <w:lang w:val="zh-TW"/>
                    </w:rPr>
                    <w:t>登船地点</w:t>
                  </w:r>
                </w:p>
              </w:tc>
              <w:tc>
                <w:tcPr>
                  <w:tcW w:w="1276" w:type="dxa"/>
                  <w:tcBorders>
                    <w:tl2br w:val="nil"/>
                    <w:tr2bl w:val="nil"/>
                  </w:tcBorders>
                  <w:shd w:val="clear" w:color="auto" w:fill="D7D7D7" w:themeFill="background1" w:themeFillShade="D8"/>
                  <w:vAlign w:val="center"/>
                </w:tcPr>
                <w:p>
                  <w:pPr>
                    <w:spacing w:line="360" w:lineRule="auto"/>
                    <w:jc w:val="center"/>
                    <w:rPr>
                      <w:sz w:val="18"/>
                      <w:szCs w:val="18"/>
                      <w:lang w:val="zh-TW"/>
                    </w:rPr>
                  </w:pPr>
                  <w:r>
                    <w:rPr>
                      <w:rFonts w:hint="eastAsia"/>
                      <w:sz w:val="18"/>
                      <w:szCs w:val="18"/>
                      <w:lang w:val="zh-TW"/>
                    </w:rPr>
                    <w:t>活动区域</w:t>
                  </w:r>
                </w:p>
              </w:tc>
              <w:tc>
                <w:tcPr>
                  <w:tcW w:w="1134" w:type="dxa"/>
                  <w:tcBorders>
                    <w:tl2br w:val="nil"/>
                    <w:tr2bl w:val="nil"/>
                  </w:tcBorders>
                  <w:shd w:val="clear" w:color="auto" w:fill="D7D7D7" w:themeFill="background1" w:themeFillShade="D8"/>
                  <w:vAlign w:val="center"/>
                </w:tcPr>
                <w:p>
                  <w:pPr>
                    <w:spacing w:line="360" w:lineRule="auto"/>
                    <w:jc w:val="center"/>
                    <w:rPr>
                      <w:sz w:val="18"/>
                      <w:szCs w:val="18"/>
                      <w:lang w:val="zh-TW"/>
                    </w:rPr>
                  </w:pPr>
                  <w:r>
                    <w:rPr>
                      <w:rFonts w:hint="eastAsia"/>
                      <w:sz w:val="18"/>
                      <w:szCs w:val="18"/>
                      <w:lang w:val="zh-TW"/>
                    </w:rPr>
                    <w:t>班次</w:t>
                  </w:r>
                </w:p>
              </w:tc>
              <w:tc>
                <w:tcPr>
                  <w:tcW w:w="992" w:type="dxa"/>
                  <w:tcBorders>
                    <w:tl2br w:val="nil"/>
                    <w:tr2bl w:val="nil"/>
                  </w:tcBorders>
                  <w:shd w:val="clear" w:color="auto" w:fill="D7D7D7" w:themeFill="background1" w:themeFillShade="D8"/>
                  <w:vAlign w:val="center"/>
                </w:tcPr>
                <w:p>
                  <w:pPr>
                    <w:spacing w:line="360" w:lineRule="auto"/>
                    <w:jc w:val="center"/>
                    <w:rPr>
                      <w:sz w:val="18"/>
                      <w:szCs w:val="18"/>
                      <w:lang w:val="zh-TW"/>
                    </w:rPr>
                  </w:pPr>
                  <w:r>
                    <w:rPr>
                      <w:rFonts w:hint="eastAsia"/>
                      <w:sz w:val="18"/>
                      <w:szCs w:val="18"/>
                      <w:lang w:val="zh-TW"/>
                    </w:rPr>
                    <w:t>出海时长</w:t>
                  </w:r>
                </w:p>
              </w:tc>
              <w:tc>
                <w:tcPr>
                  <w:tcW w:w="1077" w:type="dxa"/>
                  <w:tcBorders>
                    <w:tl2br w:val="nil"/>
                    <w:tr2bl w:val="nil"/>
                  </w:tcBorders>
                  <w:shd w:val="clear" w:color="auto" w:fill="D7D7D7" w:themeFill="background1" w:themeFillShade="D8"/>
                  <w:vAlign w:val="center"/>
                </w:tcPr>
                <w:p>
                  <w:pPr>
                    <w:spacing w:line="360" w:lineRule="auto"/>
                    <w:rPr>
                      <w:sz w:val="18"/>
                      <w:szCs w:val="18"/>
                      <w:lang w:val="zh-TW"/>
                    </w:rPr>
                  </w:pPr>
                  <w:r>
                    <w:rPr>
                      <w:rFonts w:hint="eastAsia"/>
                      <w:sz w:val="18"/>
                      <w:szCs w:val="18"/>
                      <w:lang w:val="zh-TW"/>
                    </w:rPr>
                    <w:t>人员配备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 w:hRule="atLeast"/>
                <w:jc w:val="center"/>
              </w:trPr>
              <w:tc>
                <w:tcPr>
                  <w:tcW w:w="1418" w:type="dxa"/>
                  <w:tcBorders>
                    <w:tl2br w:val="nil"/>
                    <w:tr2bl w:val="nil"/>
                  </w:tcBorders>
                  <w:vAlign w:val="center"/>
                </w:tcPr>
                <w:p>
                  <w:pPr>
                    <w:spacing w:line="360" w:lineRule="auto"/>
                    <w:jc w:val="center"/>
                    <w:rPr>
                      <w:sz w:val="18"/>
                      <w:szCs w:val="18"/>
                      <w:lang w:val="zh-TW"/>
                    </w:rPr>
                  </w:pPr>
                  <w:r>
                    <w:rPr>
                      <w:rFonts w:hint="eastAsia"/>
                      <w:sz w:val="18"/>
                      <w:szCs w:val="18"/>
                      <w:lang w:val="zh-TW"/>
                    </w:rPr>
                    <w:t>三亚鹿回头游艇公共码头</w:t>
                  </w:r>
                </w:p>
              </w:tc>
              <w:tc>
                <w:tcPr>
                  <w:tcW w:w="1276" w:type="dxa"/>
                  <w:tcBorders>
                    <w:tl2br w:val="nil"/>
                    <w:tr2bl w:val="nil"/>
                  </w:tcBorders>
                  <w:vAlign w:val="center"/>
                </w:tcPr>
                <w:p>
                  <w:pPr>
                    <w:spacing w:line="360" w:lineRule="auto"/>
                    <w:jc w:val="center"/>
                    <w:rPr>
                      <w:sz w:val="18"/>
                      <w:szCs w:val="18"/>
                      <w:lang w:val="zh-TW"/>
                    </w:rPr>
                  </w:pPr>
                  <w:r>
                    <w:rPr>
                      <w:rFonts w:hint="eastAsia"/>
                      <w:sz w:val="18"/>
                      <w:szCs w:val="18"/>
                      <w:lang w:val="zh-TW"/>
                    </w:rPr>
                    <w:t>三亚·三亚角</w:t>
                  </w:r>
                </w:p>
              </w:tc>
              <w:tc>
                <w:tcPr>
                  <w:tcW w:w="1134" w:type="dxa"/>
                  <w:tcBorders>
                    <w:tl2br w:val="nil"/>
                    <w:tr2bl w:val="nil"/>
                  </w:tcBorders>
                  <w:vAlign w:val="center"/>
                </w:tcPr>
                <w:p>
                  <w:pPr>
                    <w:spacing w:line="360" w:lineRule="auto"/>
                    <w:jc w:val="center"/>
                    <w:rPr>
                      <w:sz w:val="18"/>
                      <w:szCs w:val="18"/>
                      <w:lang w:val="zh-TW"/>
                    </w:rPr>
                  </w:pPr>
                  <w:r>
                    <w:rPr>
                      <w:rFonts w:hint="eastAsia"/>
                      <w:sz w:val="18"/>
                      <w:szCs w:val="18"/>
                      <w:lang w:val="zh-TW"/>
                    </w:rPr>
                    <w:t>9:00-12:00  15:00-18:00</w:t>
                  </w:r>
                </w:p>
              </w:tc>
              <w:tc>
                <w:tcPr>
                  <w:tcW w:w="992" w:type="dxa"/>
                  <w:tcBorders>
                    <w:tl2br w:val="nil"/>
                    <w:tr2bl w:val="nil"/>
                  </w:tcBorders>
                  <w:vAlign w:val="center"/>
                </w:tcPr>
                <w:p>
                  <w:pPr>
                    <w:spacing w:line="360" w:lineRule="auto"/>
                    <w:jc w:val="center"/>
                    <w:rPr>
                      <w:sz w:val="18"/>
                      <w:szCs w:val="18"/>
                      <w:lang w:val="zh-TW"/>
                    </w:rPr>
                  </w:pPr>
                  <w:r>
                    <w:rPr>
                      <w:rFonts w:hint="eastAsia"/>
                      <w:sz w:val="18"/>
                      <w:szCs w:val="18"/>
                      <w:lang w:val="zh-TW"/>
                    </w:rPr>
                    <w:t>180分钟</w:t>
                  </w:r>
                </w:p>
              </w:tc>
              <w:tc>
                <w:tcPr>
                  <w:tcW w:w="1077" w:type="dxa"/>
                  <w:tcBorders>
                    <w:tl2br w:val="nil"/>
                    <w:tr2bl w:val="nil"/>
                  </w:tcBorders>
                  <w:vAlign w:val="center"/>
                </w:tcPr>
                <w:p>
                  <w:pPr>
                    <w:spacing w:line="360" w:lineRule="auto"/>
                    <w:rPr>
                      <w:sz w:val="18"/>
                      <w:szCs w:val="18"/>
                      <w:lang w:val="zh-TW"/>
                    </w:rPr>
                  </w:pPr>
                  <w:r>
                    <w:rPr>
                      <w:rFonts w:hint="eastAsia"/>
                      <w:sz w:val="18"/>
                      <w:szCs w:val="18"/>
                      <w:lang w:val="zh-TW"/>
                    </w:rPr>
                    <w:t>1船长</w:t>
                  </w:r>
                </w:p>
                <w:p>
                  <w:pPr>
                    <w:spacing w:line="360" w:lineRule="auto"/>
                    <w:rPr>
                      <w:sz w:val="18"/>
                      <w:szCs w:val="18"/>
                      <w:lang w:val="zh-TW"/>
                    </w:rPr>
                  </w:pPr>
                  <w:r>
                    <w:rPr>
                      <w:rFonts w:hint="eastAsia"/>
                      <w:sz w:val="18"/>
                      <w:szCs w:val="18"/>
                      <w:lang w:val="zh-TW"/>
                    </w:rPr>
                    <w:t>1水手</w:t>
                  </w:r>
                </w:p>
              </w:tc>
            </w:tr>
          </w:tbl>
          <w:p>
            <w:pPr>
              <w:spacing w:before="62" w:beforeLines="20" w:after="62" w:afterLines="20" w:line="260" w:lineRule="exact"/>
              <w:rPr>
                <w:color w:val="C00000"/>
                <w:sz w:val="18"/>
                <w:szCs w:val="18"/>
                <w:lang w:val="zh-TW"/>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line="260" w:lineRule="exact"/>
              <w:rPr>
                <w:color w:val="C00000"/>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57" w:type="dxa"/>
            <w:left w:w="57" w:type="dxa"/>
            <w:bottom w:w="57" w:type="dxa"/>
            <w:right w:w="57" w:type="dxa"/>
          </w:tblCellMar>
        </w:tblPrEx>
        <w:trPr>
          <w:trHeight w:val="1171" w:hRule="atLeast"/>
          <w:jc w:val="center"/>
        </w:trPr>
        <w:tc>
          <w:tcPr>
            <w:tcW w:w="1863"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before="62" w:beforeLines="20" w:after="62" w:afterLines="20" w:line="250" w:lineRule="exact"/>
              <w:rPr>
                <w:sz w:val="18"/>
                <w:szCs w:val="18"/>
                <w:lang w:val="zh-TW"/>
              </w:rPr>
            </w:pPr>
            <w:r>
              <w:rPr>
                <w:rFonts w:hint="eastAsia"/>
                <w:sz w:val="18"/>
                <w:szCs w:val="18"/>
                <w:lang w:val="zh-TW"/>
              </w:rPr>
              <w:t>专人送机，乘机返回温馨家园（酒店退房时间为中午12点前）。</w:t>
            </w:r>
          </w:p>
          <w:p>
            <w:pPr>
              <w:spacing w:before="62" w:beforeLines="20" w:after="62" w:afterLines="20" w:line="25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62" w:beforeLines="20" w:after="62" w:afterLines="20" w:line="250" w:lineRule="exact"/>
              <w:rPr>
                <w:sz w:val="18"/>
                <w:szCs w:val="18"/>
                <w:lang w:val="zh-TW"/>
              </w:rPr>
            </w:pPr>
          </w:p>
          <w:p>
            <w:pPr>
              <w:spacing w:before="62" w:beforeLines="20" w:after="62" w:afterLines="20" w:line="25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W w:w="11225" w:type="dxa"/>
        <w:jc w:val="center"/>
        <w:tblLayout w:type="fixed"/>
        <w:tblCellMar>
          <w:top w:w="113" w:type="dxa"/>
          <w:left w:w="57" w:type="dxa"/>
          <w:bottom w:w="113" w:type="dxa"/>
          <w:right w:w="57" w:type="dxa"/>
        </w:tblCellMar>
      </w:tblPr>
      <w:tblGrid>
        <w:gridCol w:w="1188"/>
        <w:gridCol w:w="501"/>
        <w:gridCol w:w="9536"/>
      </w:tblGrid>
      <w:tr>
        <w:tblPrEx>
          <w:tblCellMar>
            <w:top w:w="113" w:type="dxa"/>
            <w:left w:w="57" w:type="dxa"/>
            <w:bottom w:w="113" w:type="dxa"/>
            <w:right w:w="57" w:type="dxa"/>
          </w:tblCellMar>
        </w:tblPrEx>
        <w:trPr>
          <w:trHeight w:val="630"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费用包含 </w:t>
            </w:r>
          </w:p>
        </w:tc>
      </w:tr>
      <w:tr>
        <w:tblPrEx>
          <w:tblCellMar>
            <w:top w:w="113" w:type="dxa"/>
            <w:left w:w="57" w:type="dxa"/>
            <w:bottom w:w="113" w:type="dxa"/>
            <w:right w:w="57" w:type="dxa"/>
          </w:tblCellMar>
        </w:tblPrEx>
        <w:trPr>
          <w:trHeight w:val="19" w:hRule="atLeast"/>
          <w:jc w:val="center"/>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w:t>
            </w:r>
            <w:r>
              <w:rPr>
                <w:rFonts w:hint="eastAsia" w:ascii="宋体" w:hAnsi="宋体"/>
                <w:sz w:val="18"/>
                <w:szCs w:val="18"/>
              </w:rPr>
              <w:t>全程连住三亚海边酒店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升级品鉴</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“波隆野菜自助餐”、“南山素斋”各1次；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CellMar>
            <w:top w:w="113" w:type="dxa"/>
            <w:left w:w="57" w:type="dxa"/>
            <w:bottom w:w="113" w:type="dxa"/>
            <w:right w:w="57" w:type="dxa"/>
          </w:tblCellMar>
        </w:tblPrEx>
        <w:trPr>
          <w:trHeight w:val="452"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酒店说明 </w:t>
            </w:r>
          </w:p>
        </w:tc>
      </w:tr>
      <w:tr>
        <w:tblPrEx>
          <w:tblCellMar>
            <w:top w:w="113" w:type="dxa"/>
            <w:left w:w="57" w:type="dxa"/>
            <w:bottom w:w="113" w:type="dxa"/>
            <w:right w:w="57" w:type="dxa"/>
          </w:tblCellMar>
        </w:tblPrEx>
        <w:trPr>
          <w:trHeight w:val="260"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349"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spacing w:before="62" w:beforeLines="20" w:after="62" w:afterLines="20" w:line="250" w:lineRule="exact"/>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碧海金沙、君锦、容锦海悦、凯瑞莱、颐和、君亭、新城酒店、万嘉</w:t>
            </w:r>
          </w:p>
        </w:tc>
      </w:tr>
      <w:tr>
        <w:tblPrEx>
          <w:tblCellMar>
            <w:top w:w="113" w:type="dxa"/>
            <w:left w:w="57" w:type="dxa"/>
            <w:bottom w:w="113" w:type="dxa"/>
            <w:right w:w="57" w:type="dxa"/>
          </w:tblCellMar>
        </w:tblPrEx>
        <w:trPr>
          <w:trHeight w:val="536" w:hRule="atLeast"/>
          <w:jc w:val="center"/>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CellMar>
            <w:top w:w="113" w:type="dxa"/>
            <w:left w:w="57" w:type="dxa"/>
            <w:bottom w:w="113" w:type="dxa"/>
            <w:right w:w="57" w:type="dxa"/>
          </w:tblCellMar>
        </w:tblPrEx>
        <w:trPr>
          <w:trHeight w:val="405" w:hRule="atLeast"/>
          <w:jc w:val="center"/>
        </w:trPr>
        <w:tc>
          <w:tcPr>
            <w:tcW w:w="11225" w:type="dxa"/>
            <w:gridSpan w:val="3"/>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CellMar>
            <w:top w:w="113" w:type="dxa"/>
            <w:left w:w="57" w:type="dxa"/>
            <w:bottom w:w="113" w:type="dxa"/>
            <w:right w:w="57" w:type="dxa"/>
          </w:tblCellMar>
        </w:tblPrEx>
        <w:trPr>
          <w:trHeight w:val="1328" w:hRule="atLeast"/>
          <w:jc w:val="center"/>
        </w:trPr>
        <w:tc>
          <w:tcPr>
            <w:tcW w:w="1188"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2"/>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spacing w:before="62" w:beforeLines="20" w:after="62" w:afterLines="20" w:line="250" w:lineRule="exact"/>
              <w:jc w:val="lef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18"/>
                <w:szCs w:val="18"/>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CellMar>
            <w:top w:w="113" w:type="dxa"/>
            <w:left w:w="57" w:type="dxa"/>
            <w:bottom w:w="113" w:type="dxa"/>
            <w:right w:w="57" w:type="dxa"/>
          </w:tblCellMar>
        </w:tblPrEx>
        <w:trPr>
          <w:trHeight w:val="437"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tcPr>
          <w:p>
            <w:pPr>
              <w:rPr>
                <w:sz w:val="18"/>
                <w:szCs w:val="18"/>
              </w:rPr>
            </w:pPr>
            <w:r>
              <w:rPr>
                <w:rFonts w:hint="eastAsia"/>
                <w:sz w:val="18"/>
                <w:szCs w:val="18"/>
              </w:rPr>
              <w:t>蟹鲍海鲜餐1份/人</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tcPr>
          <w:p>
            <w:pPr>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398" w:hRule="atLeast"/>
        </w:trPr>
        <w:tc>
          <w:tcPr>
            <w:tcW w:w="11225" w:type="dxa"/>
            <w:tcBorders>
              <w:top w:val="nil"/>
              <w:left w:val="nil"/>
              <w:bottom w:val="single" w:color="E60044" w:sz="4" w:space="0"/>
              <w:right w:val="nil"/>
            </w:tcBorders>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op w:val="single" w:color="E60044" w:sz="4" w:space="0"/>
              <w:tl2br w:val="nil"/>
              <w:tr2bl w:val="nil"/>
            </w:tcBorders>
            <w:shd w:val="clear" w:color="auto" w:fill="auto"/>
          </w:tcPr>
          <w:tbl>
            <w:tblPr>
              <w:tblStyle w:val="6"/>
              <w:tblpPr w:leftFromText="180" w:rightFromText="180" w:vertAnchor="text" w:horzAnchor="page" w:tblpX="415" w:tblpY="93"/>
              <w:tblOverlap w:val="never"/>
              <w:tblW w:w="112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577A8"/>
    <w:rsid w:val="00086432"/>
    <w:rsid w:val="000B06AF"/>
    <w:rsid w:val="000C053C"/>
    <w:rsid w:val="000D3503"/>
    <w:rsid w:val="000E6D8D"/>
    <w:rsid w:val="0014235F"/>
    <w:rsid w:val="001A5209"/>
    <w:rsid w:val="00211E25"/>
    <w:rsid w:val="00227C0A"/>
    <w:rsid w:val="002332C5"/>
    <w:rsid w:val="00277009"/>
    <w:rsid w:val="002950DF"/>
    <w:rsid w:val="00324C8A"/>
    <w:rsid w:val="003262BC"/>
    <w:rsid w:val="003A51B0"/>
    <w:rsid w:val="003B1C18"/>
    <w:rsid w:val="004273D9"/>
    <w:rsid w:val="00473CE0"/>
    <w:rsid w:val="0048181A"/>
    <w:rsid w:val="00483E92"/>
    <w:rsid w:val="004B70CF"/>
    <w:rsid w:val="004F6A01"/>
    <w:rsid w:val="00501410"/>
    <w:rsid w:val="00517DCF"/>
    <w:rsid w:val="005632FF"/>
    <w:rsid w:val="005805A8"/>
    <w:rsid w:val="00585405"/>
    <w:rsid w:val="00594EA3"/>
    <w:rsid w:val="005F5E50"/>
    <w:rsid w:val="005F6957"/>
    <w:rsid w:val="00607267"/>
    <w:rsid w:val="00615F52"/>
    <w:rsid w:val="00616EC2"/>
    <w:rsid w:val="00634B3E"/>
    <w:rsid w:val="00661CE0"/>
    <w:rsid w:val="00686E09"/>
    <w:rsid w:val="00696C75"/>
    <w:rsid w:val="00745269"/>
    <w:rsid w:val="007605D7"/>
    <w:rsid w:val="00780BF5"/>
    <w:rsid w:val="007A435A"/>
    <w:rsid w:val="007C2761"/>
    <w:rsid w:val="007F28B2"/>
    <w:rsid w:val="007F3433"/>
    <w:rsid w:val="008820D3"/>
    <w:rsid w:val="00882164"/>
    <w:rsid w:val="008948AA"/>
    <w:rsid w:val="008B221D"/>
    <w:rsid w:val="008C2FE6"/>
    <w:rsid w:val="00941774"/>
    <w:rsid w:val="00965CD2"/>
    <w:rsid w:val="00984B67"/>
    <w:rsid w:val="009861CB"/>
    <w:rsid w:val="00996BC6"/>
    <w:rsid w:val="00A014B6"/>
    <w:rsid w:val="00A1686F"/>
    <w:rsid w:val="00A50363"/>
    <w:rsid w:val="00A64C45"/>
    <w:rsid w:val="00A73D87"/>
    <w:rsid w:val="00AC161B"/>
    <w:rsid w:val="00AF1059"/>
    <w:rsid w:val="00B05B5C"/>
    <w:rsid w:val="00B23313"/>
    <w:rsid w:val="00B30C1E"/>
    <w:rsid w:val="00B55630"/>
    <w:rsid w:val="00B9379F"/>
    <w:rsid w:val="00BF0D67"/>
    <w:rsid w:val="00C24052"/>
    <w:rsid w:val="00C520AC"/>
    <w:rsid w:val="00C55F36"/>
    <w:rsid w:val="00C9497F"/>
    <w:rsid w:val="00CA0897"/>
    <w:rsid w:val="00CE2518"/>
    <w:rsid w:val="00CF0E94"/>
    <w:rsid w:val="00D02D09"/>
    <w:rsid w:val="00D35B14"/>
    <w:rsid w:val="00D84B19"/>
    <w:rsid w:val="00DB724E"/>
    <w:rsid w:val="00DF5895"/>
    <w:rsid w:val="00E13BAC"/>
    <w:rsid w:val="00E16440"/>
    <w:rsid w:val="00E33579"/>
    <w:rsid w:val="00E627C6"/>
    <w:rsid w:val="00EA1FEF"/>
    <w:rsid w:val="00ED2584"/>
    <w:rsid w:val="00EF516C"/>
    <w:rsid w:val="00F06724"/>
    <w:rsid w:val="00F06DE7"/>
    <w:rsid w:val="00F10CB4"/>
    <w:rsid w:val="00F229F5"/>
    <w:rsid w:val="00F42E12"/>
    <w:rsid w:val="00F579EB"/>
    <w:rsid w:val="00FD7E15"/>
    <w:rsid w:val="00FF3081"/>
    <w:rsid w:val="00FF59CE"/>
    <w:rsid w:val="01786AC3"/>
    <w:rsid w:val="02E8169C"/>
    <w:rsid w:val="05EA05B9"/>
    <w:rsid w:val="060B3707"/>
    <w:rsid w:val="07EB79D6"/>
    <w:rsid w:val="09956601"/>
    <w:rsid w:val="0B952A4F"/>
    <w:rsid w:val="0BA115A6"/>
    <w:rsid w:val="0D6367E4"/>
    <w:rsid w:val="11004106"/>
    <w:rsid w:val="11486B37"/>
    <w:rsid w:val="14A7310C"/>
    <w:rsid w:val="14DD2A45"/>
    <w:rsid w:val="150A19EE"/>
    <w:rsid w:val="16442543"/>
    <w:rsid w:val="176554E0"/>
    <w:rsid w:val="17784F52"/>
    <w:rsid w:val="17C11A62"/>
    <w:rsid w:val="17C82FF6"/>
    <w:rsid w:val="1C627327"/>
    <w:rsid w:val="21D934FB"/>
    <w:rsid w:val="22046744"/>
    <w:rsid w:val="221456E5"/>
    <w:rsid w:val="22A056AE"/>
    <w:rsid w:val="22AF70AD"/>
    <w:rsid w:val="2436699F"/>
    <w:rsid w:val="258955DB"/>
    <w:rsid w:val="2B0861A5"/>
    <w:rsid w:val="2B4262A0"/>
    <w:rsid w:val="2B430BAE"/>
    <w:rsid w:val="2BBB4BF8"/>
    <w:rsid w:val="2BE222CE"/>
    <w:rsid w:val="2D0D48B7"/>
    <w:rsid w:val="2F3E103B"/>
    <w:rsid w:val="30DB5145"/>
    <w:rsid w:val="31015BBD"/>
    <w:rsid w:val="31F9170C"/>
    <w:rsid w:val="32036703"/>
    <w:rsid w:val="323C0AC0"/>
    <w:rsid w:val="323E7DE1"/>
    <w:rsid w:val="327971CA"/>
    <w:rsid w:val="32907C49"/>
    <w:rsid w:val="384F0EE3"/>
    <w:rsid w:val="39B73441"/>
    <w:rsid w:val="39E40528"/>
    <w:rsid w:val="3A6401D0"/>
    <w:rsid w:val="3B3A1291"/>
    <w:rsid w:val="3B604E2B"/>
    <w:rsid w:val="44AC71E3"/>
    <w:rsid w:val="455005EE"/>
    <w:rsid w:val="459D00E8"/>
    <w:rsid w:val="4B300B60"/>
    <w:rsid w:val="4D0C0565"/>
    <w:rsid w:val="4D3C2EA8"/>
    <w:rsid w:val="4ECC72E7"/>
    <w:rsid w:val="511D4FF2"/>
    <w:rsid w:val="51EA47B1"/>
    <w:rsid w:val="51FB000A"/>
    <w:rsid w:val="52236754"/>
    <w:rsid w:val="544D468F"/>
    <w:rsid w:val="55A47791"/>
    <w:rsid w:val="58451BBE"/>
    <w:rsid w:val="5CF4716A"/>
    <w:rsid w:val="5D1B22F7"/>
    <w:rsid w:val="60AB3B68"/>
    <w:rsid w:val="61A902A4"/>
    <w:rsid w:val="645E4ADB"/>
    <w:rsid w:val="64BD2ACA"/>
    <w:rsid w:val="68282204"/>
    <w:rsid w:val="690C064F"/>
    <w:rsid w:val="6BAD3393"/>
    <w:rsid w:val="6BCF1DB8"/>
    <w:rsid w:val="6BCF6A19"/>
    <w:rsid w:val="6D301E87"/>
    <w:rsid w:val="6EF42687"/>
    <w:rsid w:val="6F6E2C29"/>
    <w:rsid w:val="6FFC6A05"/>
    <w:rsid w:val="701E7300"/>
    <w:rsid w:val="738E2FE7"/>
    <w:rsid w:val="740C1D6B"/>
    <w:rsid w:val="76865A7E"/>
    <w:rsid w:val="778B1DFE"/>
    <w:rsid w:val="77936933"/>
    <w:rsid w:val="798B285C"/>
    <w:rsid w:val="7A7F036D"/>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5222</Words>
  <Characters>358</Characters>
  <Lines>2</Lines>
  <Paragraphs>11</Paragraphs>
  <TotalTime>1</TotalTime>
  <ScaleCrop>false</ScaleCrop>
  <LinksUpToDate>false</LinksUpToDate>
  <CharactersWithSpaces>5569</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2019-11-15T09:24:58Z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