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br w:type="page"/>
      </w:r>
      <w:r>
        <w:rPr>
          <w:rFonts w:hint="eastAsia" w:eastAsiaTheme="minorEastAsia"/>
          <w:lang w:eastAsia="zh-CN"/>
        </w:rPr>
        <w:drawing>
          <wp:anchor distT="0" distB="0" distL="114300" distR="114300" simplePos="0" relativeHeight="251699200" behindDoc="1" locked="0" layoutInCell="1" allowOverlap="1">
            <wp:simplePos x="0" y="0"/>
            <wp:positionH relativeFrom="column">
              <wp:posOffset>-228600</wp:posOffset>
            </wp:positionH>
            <wp:positionV relativeFrom="paragraph">
              <wp:posOffset>-232410</wp:posOffset>
            </wp:positionV>
            <wp:extent cx="7565390" cy="10701655"/>
            <wp:effectExtent l="0" t="0" r="16510" b="4445"/>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7565390" cy="10701655"/>
                    </a:xfrm>
                    <a:prstGeom prst="rect">
                      <a:avLst/>
                    </a:prstGeom>
                  </pic:spPr>
                </pic:pic>
              </a:graphicData>
            </a:graphic>
          </wp:anchor>
        </w:drawing>
      </w:r>
    </w:p>
    <w:p>
      <w:r>
        <w:drawing>
          <wp:anchor distT="0" distB="0" distL="114300" distR="114300" simplePos="0" relativeHeight="251667456" behindDoc="0" locked="0" layoutInCell="1" allowOverlap="1">
            <wp:simplePos x="0" y="0"/>
            <wp:positionH relativeFrom="column">
              <wp:posOffset>-215900</wp:posOffset>
            </wp:positionH>
            <wp:positionV relativeFrom="paragraph">
              <wp:posOffset>-215900</wp:posOffset>
            </wp:positionV>
            <wp:extent cx="7557135" cy="10690225"/>
            <wp:effectExtent l="0" t="0" r="571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7135" cy="10690225"/>
                    </a:xfrm>
                    <a:prstGeom prst="rect">
                      <a:avLst/>
                    </a:prstGeom>
                  </pic:spPr>
                </pic:pic>
              </a:graphicData>
            </a:graphic>
          </wp:anchor>
        </w:drawing>
      </w:r>
      <w:r>
        <w:br w:type="page"/>
      </w:r>
    </w:p>
    <w:p>
      <w:r>
        <w:drawing>
          <wp:anchor distT="0" distB="0" distL="114300" distR="114300" simplePos="0" relativeHeight="251676672" behindDoc="1" locked="0" layoutInCell="1" allowOverlap="1">
            <wp:simplePos x="0" y="0"/>
            <wp:positionH relativeFrom="column">
              <wp:posOffset>-215900</wp:posOffset>
            </wp:positionH>
            <wp:positionV relativeFrom="paragraph">
              <wp:posOffset>-215900</wp:posOffset>
            </wp:positionV>
            <wp:extent cx="7557770" cy="10690225"/>
            <wp:effectExtent l="0" t="0" r="5080" b="0"/>
            <wp:wrapTight wrapText="bothSides">
              <wp:wrapPolygon>
                <wp:start x="0" y="0"/>
                <wp:lineTo x="0" y="21555"/>
                <wp:lineTo x="21560" y="21555"/>
                <wp:lineTo x="21560"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anchor>
        </w:drawing>
      </w:r>
      <w:r>
        <w:br w:type="page"/>
      </w:r>
    </w:p>
    <w:p>
      <w:r>
        <w:drawing>
          <wp:anchor distT="0" distB="0" distL="114300" distR="114300" simplePos="0" relativeHeight="251677696" behindDoc="0" locked="0" layoutInCell="1" allowOverlap="1">
            <wp:simplePos x="0" y="0"/>
            <wp:positionH relativeFrom="column">
              <wp:posOffset>-215900</wp:posOffset>
            </wp:positionH>
            <wp:positionV relativeFrom="paragraph">
              <wp:posOffset>-215900</wp:posOffset>
            </wp:positionV>
            <wp:extent cx="7547610" cy="1067625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7610" cy="10676255"/>
                    </a:xfrm>
                    <a:prstGeom prst="rect">
                      <a:avLst/>
                    </a:prstGeom>
                  </pic:spPr>
                </pic:pic>
              </a:graphicData>
            </a:graphic>
          </wp:anchor>
        </w:drawing>
      </w:r>
      <w:r>
        <w:br w:type="page"/>
      </w:r>
    </w:p>
    <w:tbl>
      <w:tblPr>
        <w:tblStyle w:val="6"/>
        <w:tblW w:w="11225"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57" w:type="dxa"/>
          <w:left w:w="57" w:type="dxa"/>
          <w:bottom w:w="57" w:type="dxa"/>
          <w:right w:w="57" w:type="dxa"/>
        </w:tblCellMar>
      </w:tblPr>
      <w:tblGrid>
        <w:gridCol w:w="1864"/>
        <w:gridCol w:w="6480"/>
        <w:gridCol w:w="7"/>
        <w:gridCol w:w="300"/>
        <w:gridCol w:w="2574"/>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57" w:type="dxa"/>
            <w:left w:w="57" w:type="dxa"/>
            <w:bottom w:w="57" w:type="dxa"/>
            <w:right w:w="57" w:type="dxa"/>
          </w:tblCellMar>
        </w:tblPrEx>
        <w:trPr>
          <w:jc w:val="center"/>
        </w:trPr>
        <w:tc>
          <w:tcPr>
            <w:tcW w:w="11225" w:type="dxa"/>
            <w:gridSpan w:val="5"/>
            <w:tcBorders>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趣七仙岭（海景版）·海南游</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57" w:type="dxa"/>
            <w:left w:w="57" w:type="dxa"/>
            <w:bottom w:w="57" w:type="dxa"/>
            <w:right w:w="57" w:type="dxa"/>
          </w:tblCellMar>
        </w:tblPrEx>
        <w:trPr>
          <w:trHeight w:val="446" w:hRule="atLeast"/>
          <w:jc w:val="center"/>
        </w:trPr>
        <w:tc>
          <w:tcPr>
            <w:tcW w:w="8351" w:type="dxa"/>
            <w:gridSpan w:val="3"/>
            <w:tcBorders>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l2br w:val="nil"/>
              <w:tr2bl w:val="nil"/>
            </w:tcBorders>
            <w:shd w:val="clear" w:color="auto" w:fill="auto"/>
            <w:vAlign w:val="center"/>
          </w:tcPr>
          <w:p>
            <w:pPr>
              <w:jc w:val="left"/>
              <w:rPr>
                <w:rFonts w:ascii="宋体" w:hAnsi="宋体"/>
                <w:b/>
                <w:color w:val="C00000"/>
                <w:sz w:val="28"/>
                <w:szCs w:val="28"/>
              </w:rPr>
            </w:pPr>
          </w:p>
        </w:tc>
        <w:tc>
          <w:tcPr>
            <w:tcW w:w="2574" w:type="dxa"/>
            <w:tcBorders>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57" w:type="dxa"/>
            <w:left w:w="57" w:type="dxa"/>
            <w:bottom w:w="57" w:type="dxa"/>
            <w:right w:w="57" w:type="dxa"/>
          </w:tblCellMar>
        </w:tblPrEx>
        <w:trPr>
          <w:trHeight w:val="246" w:hRule="atLeast"/>
          <w:jc w:val="center"/>
        </w:trPr>
        <w:tc>
          <w:tcPr>
            <w:tcW w:w="1864" w:type="dxa"/>
            <w:tcBorders>
              <w:tl2br w:val="nil"/>
              <w:tr2bl w:val="nil"/>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80" w:type="dxa"/>
            <w:tcBorders>
              <w:tl2br w:val="nil"/>
              <w:tr2bl w:val="nil"/>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l2br w:val="nil"/>
              <w:tr2bl w:val="nil"/>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4" w:type="dxa"/>
            <w:vMerge w:val="restart"/>
            <w:tcBorders>
              <w:tl2br w:val="nil"/>
              <w:tr2bl w:val="nil"/>
            </w:tcBorders>
            <w:shd w:val="clear" w:color="auto" w:fill="auto"/>
          </w:tcPr>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趣住：</w:t>
            </w:r>
          </w:p>
          <w:p>
            <w:pPr>
              <w:spacing w:after="156" w:afterLines="50" w:line="280" w:lineRule="exact"/>
              <w:rPr>
                <w:rFonts w:ascii="Arial" w:hAnsi="Arial" w:cs="Arial"/>
                <w:sz w:val="18"/>
                <w:szCs w:val="18"/>
              </w:rPr>
            </w:pPr>
            <w:r>
              <w:rPr>
                <w:rFonts w:hint="eastAsia" w:ascii="Arial" w:hAnsi="Arial" w:cs="Arial"/>
                <w:sz w:val="18"/>
                <w:szCs w:val="18"/>
              </w:rPr>
              <w:t>1晚景区七仙岭温泉酒店·享天然温泉、搭配三亚一线海边酒店海景房，不同主题多重尊享。</w:t>
            </w:r>
          </w:p>
          <w:p>
            <w:pPr>
              <w:spacing w:line="280" w:lineRule="exact"/>
              <w:rPr>
                <w:rFonts w:ascii="Arial" w:hAnsi="Arial" w:cs="Arial"/>
                <w:b/>
                <w:bCs/>
                <w:color w:val="E60044"/>
                <w:szCs w:val="21"/>
              </w:rPr>
            </w:pPr>
            <w:r>
              <w:rPr>
                <w:rFonts w:hint="eastAsia" w:ascii="Arial" w:hAnsi="Arial" w:cs="Arial"/>
                <w:b/>
                <w:bCs/>
                <w:color w:val="E60044"/>
                <w:szCs w:val="21"/>
              </w:rPr>
              <w:t>趣玩：</w:t>
            </w:r>
          </w:p>
          <w:p>
            <w:pPr>
              <w:spacing w:after="156" w:afterLines="50" w:line="280" w:lineRule="exact"/>
              <w:rPr>
                <w:rFonts w:ascii="Arial" w:hAnsi="Arial" w:cs="Arial"/>
                <w:sz w:val="18"/>
                <w:szCs w:val="18"/>
              </w:rPr>
            </w:pPr>
            <w:r>
              <w:rPr>
                <w:rFonts w:hint="eastAsia" w:ascii="Arial" w:hAnsi="Arial" w:cs="Arial"/>
                <w:sz w:val="18"/>
                <w:szCs w:val="18"/>
              </w:rPr>
              <w:t>蜈支洲岛5A、南山5A、天涯海角4A、宋城千古情景区（不含演出），玫瑰谷。</w:t>
            </w:r>
          </w:p>
          <w:p>
            <w:pPr>
              <w:spacing w:line="280" w:lineRule="exact"/>
              <w:rPr>
                <w:rFonts w:ascii="Arial" w:hAnsi="Arial" w:cs="Arial"/>
                <w:b/>
                <w:bCs/>
                <w:color w:val="E60044"/>
                <w:szCs w:val="21"/>
              </w:rPr>
            </w:pPr>
            <w:r>
              <w:rPr>
                <w:rFonts w:hint="eastAsia" w:ascii="Arial" w:hAnsi="Arial" w:cs="Arial"/>
                <w:b/>
                <w:bCs/>
                <w:color w:val="E60044"/>
                <w:szCs w:val="21"/>
              </w:rPr>
              <w:t>趣享：</w:t>
            </w:r>
          </w:p>
          <w:p>
            <w:pPr>
              <w:spacing w:after="156" w:afterLines="50" w:line="280" w:lineRule="exact"/>
              <w:rPr>
                <w:rFonts w:ascii="Arial" w:hAnsi="Arial" w:cs="Arial"/>
                <w:sz w:val="18"/>
                <w:szCs w:val="18"/>
              </w:rPr>
            </w:pPr>
            <w:r>
              <w:rPr>
                <w:rFonts w:hint="eastAsia" w:ascii="Arial" w:hAnsi="Arial" w:cs="Arial"/>
                <w:b/>
                <w:bCs/>
                <w:sz w:val="18"/>
                <w:szCs w:val="18"/>
              </w:rPr>
              <w:t>七仙岭黎乡之夜贵宾欢迎仪式：</w:t>
            </w:r>
            <w:r>
              <w:rPr>
                <w:rFonts w:hint="eastAsia" w:ascii="Arial" w:hAnsi="Arial" w:cs="Arial"/>
                <w:sz w:val="18"/>
                <w:szCs w:val="18"/>
              </w:rPr>
              <w:t>竹竿舞、黎乡小调、草裙篝火晚会、七仙岭酒店客房独立温泉泡池。</w:t>
            </w:r>
          </w:p>
          <w:p>
            <w:pPr>
              <w:spacing w:line="280" w:lineRule="exact"/>
              <w:rPr>
                <w:rFonts w:ascii="Arial" w:hAnsi="Arial" w:cs="Arial"/>
                <w:b/>
                <w:bCs/>
                <w:color w:val="E60044"/>
                <w:szCs w:val="21"/>
              </w:rPr>
            </w:pPr>
            <w:r>
              <w:rPr>
                <w:rFonts w:hint="eastAsia" w:ascii="Arial" w:hAnsi="Arial" w:cs="Arial"/>
                <w:b/>
                <w:bCs/>
                <w:color w:val="E60044"/>
                <w:szCs w:val="21"/>
              </w:rPr>
              <w:t>趣吃：</w:t>
            </w:r>
          </w:p>
          <w:p>
            <w:pPr>
              <w:spacing w:after="156" w:afterLines="50" w:line="280" w:lineRule="exact"/>
              <w:rPr>
                <w:rFonts w:ascii="Arial" w:hAnsi="Arial" w:cs="Arial"/>
                <w:sz w:val="18"/>
                <w:szCs w:val="18"/>
              </w:rPr>
            </w:pPr>
            <w:r>
              <w:rPr>
                <w:rFonts w:hint="eastAsia" w:ascii="Arial" w:hAnsi="Arial" w:cs="Arial"/>
                <w:sz w:val="18"/>
                <w:szCs w:val="18"/>
                <w:lang w:val="zh-TW" w:eastAsia="zh-TW"/>
              </w:rPr>
              <w:t>全程餐标100%高于普通团队</w:t>
            </w:r>
            <w:r>
              <w:rPr>
                <w:rFonts w:hint="eastAsia" w:ascii="Arial" w:hAnsi="Arial" w:cs="Arial"/>
                <w:sz w:val="18"/>
                <w:szCs w:val="18"/>
              </w:rPr>
              <w:t>，升级品鉴“特色海鲜</w:t>
            </w:r>
            <w:r>
              <w:rPr>
                <w:rFonts w:ascii="Arial" w:hAnsi="Arial" w:cs="Arial"/>
                <w:sz w:val="18"/>
                <w:szCs w:val="18"/>
              </w:rPr>
              <w:t>大咖</w:t>
            </w:r>
            <w:r>
              <w:rPr>
                <w:rFonts w:hint="eastAsia" w:ascii="Arial" w:hAnsi="Arial" w:cs="Arial"/>
                <w:sz w:val="18"/>
                <w:szCs w:val="18"/>
              </w:rPr>
              <w:t>餐”、“</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黎家自助火锅+土窑鸡</w:t>
            </w:r>
            <w:r>
              <w:rPr>
                <w:rFonts w:hint="eastAsia" w:ascii="Arial" w:hAnsi="Arial" w:cs="Arial"/>
                <w:sz w:val="18"/>
                <w:szCs w:val="18"/>
              </w:rPr>
              <w:t>”、“养生特色餐”，赠矿泉水1瓶/人/天。</w:t>
            </w:r>
          </w:p>
          <w:p>
            <w:pPr>
              <w:spacing w:line="280" w:lineRule="exact"/>
              <w:rPr>
                <w:rFonts w:ascii="宋体" w:hAnsi="宋体"/>
                <w:b/>
                <w:bCs/>
                <w:iCs/>
                <w:color w:val="E60044"/>
                <w:szCs w:val="21"/>
              </w:rPr>
            </w:pPr>
            <w:r>
              <w:rPr>
                <w:rFonts w:hint="eastAsia" w:ascii="宋体" w:hAnsi="宋体"/>
                <w:b/>
                <w:bCs/>
                <w:iCs/>
                <w:color w:val="E60044"/>
                <w:szCs w:val="21"/>
              </w:rPr>
              <w:t>0自费：</w:t>
            </w:r>
          </w:p>
          <w:p>
            <w:pPr>
              <w:spacing w:after="156" w:afterLines="50" w:line="280" w:lineRule="exact"/>
              <w:rPr>
                <w:rFonts w:ascii="宋体" w:hAnsi="宋体"/>
                <w:color w:val="C00000"/>
                <w:sz w:val="18"/>
                <w:szCs w:val="18"/>
              </w:rPr>
            </w:pPr>
            <w:r>
              <w:rPr>
                <w:rFonts w:hint="eastAsia" w:asciiTheme="minorEastAsia" w:hAnsiTheme="minorEastAsia" w:cstheme="minorEastAsia"/>
                <w:sz w:val="18"/>
                <w:szCs w:val="21"/>
              </w:rPr>
              <w:t>全程不增加任何自费景点和购物店（不含潜水等海上项目和千古情演绎）</w:t>
            </w:r>
            <w:r>
              <w:rPr>
                <w:rFonts w:hint="eastAsia" w:ascii="宋体" w:hAnsi="宋体"/>
                <w:iCs/>
                <w:sz w:val="18"/>
                <w:szCs w:val="18"/>
              </w:rPr>
              <w:t>。</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57" w:type="dxa"/>
            <w:left w:w="57" w:type="dxa"/>
            <w:bottom w:w="57" w:type="dxa"/>
            <w:right w:w="57" w:type="dxa"/>
          </w:tblCellMar>
        </w:tblPrEx>
        <w:trPr>
          <w:trHeight w:val="803" w:hRule="atLeast"/>
          <w:jc w:val="center"/>
        </w:trPr>
        <w:tc>
          <w:tcPr>
            <w:tcW w:w="1864" w:type="dxa"/>
            <w:tcBorders>
              <w:bottom w:val="single" w:color="D7D7D7" w:themeColor="background1" w:themeShade="D8"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80" w:type="dxa"/>
            <w:tcBorders>
              <w:bottom w:val="single" w:color="D7D7D7" w:themeColor="background1" w:themeShade="D8" w:sz="4" w:space="0"/>
            </w:tcBorders>
            <w:shd w:val="clear" w:color="auto" w:fill="auto"/>
          </w:tcPr>
          <w:p>
            <w:pPr>
              <w:spacing w:after="31" w:afterLines="10" w:line="24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after="31" w:afterLines="10" w:line="24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color w:val="262626" w:themeColor="text1" w:themeTint="D9"/>
                <w:sz w:val="18"/>
                <w:szCs w:val="18"/>
                <w14:textFill>
                  <w14:solidFill>
                    <w14:schemeClr w14:val="tx1">
                      <w14:lumMod w14:val="85000"/>
                      <w14:lumOff w14:val="15000"/>
                    </w14:schemeClr>
                  </w14:solidFill>
                </w14:textFill>
              </w:rPr>
              <w:t>指定酒店</w:t>
            </w:r>
          </w:p>
          <w:p>
            <w:pPr>
              <w:spacing w:after="31" w:afterLines="10" w:line="24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l2br w:val="nil"/>
              <w:tr2bl w:val="nil"/>
            </w:tcBorders>
            <w:shd w:val="clear" w:color="auto" w:fill="auto"/>
            <w:vAlign w:val="center"/>
          </w:tcPr>
          <w:p>
            <w:pPr>
              <w:spacing w:line="200" w:lineRule="atLeast"/>
              <w:rPr>
                <w:rFonts w:ascii="宋体" w:hAnsi="宋体"/>
                <w:color w:val="C00000"/>
                <w:sz w:val="18"/>
                <w:szCs w:val="18"/>
              </w:rPr>
            </w:pPr>
          </w:p>
        </w:tc>
        <w:tc>
          <w:tcPr>
            <w:tcW w:w="2574" w:type="dxa"/>
            <w:vMerge w:val="continue"/>
            <w:tcBorders>
              <w:tl2br w:val="nil"/>
              <w:tr2bl w:val="nil"/>
            </w:tcBorders>
            <w:shd w:val="clear" w:color="auto" w:fill="auto"/>
          </w:tcPr>
          <w:p>
            <w:pPr>
              <w:spacing w:after="156" w:afterLines="50" w:line="280" w:lineRule="exact"/>
              <w:rPr>
                <w:rFonts w:ascii="宋体" w:hAnsi="宋体"/>
                <w:color w:val="C00000"/>
                <w:sz w:val="18"/>
                <w:szCs w:val="18"/>
              </w:rPr>
            </w:pP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57" w:type="dxa"/>
            <w:left w:w="57" w:type="dxa"/>
            <w:bottom w:w="57" w:type="dxa"/>
            <w:right w:w="57" w:type="dxa"/>
          </w:tblCellMar>
        </w:tblPrEx>
        <w:trPr>
          <w:trHeight w:val="2335" w:hRule="atLeast"/>
          <w:jc w:val="center"/>
        </w:trPr>
        <w:tc>
          <w:tcPr>
            <w:tcW w:w="1864" w:type="dxa"/>
            <w:tcBorders>
              <w:top w:val="single" w:color="D7D7D7" w:themeColor="background1" w:themeShade="D8" w:sz="4" w:space="0"/>
              <w:bottom w:val="single" w:color="D7D7D7" w:themeColor="background1" w:themeShade="D8"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保亭</w:t>
            </w:r>
          </w:p>
        </w:tc>
        <w:tc>
          <w:tcPr>
            <w:tcW w:w="6480" w:type="dxa"/>
            <w:tcBorders>
              <w:top w:val="single" w:color="D7D7D7" w:themeColor="background1" w:themeShade="D8" w:sz="4" w:space="0"/>
              <w:bottom w:val="single" w:color="D7D7D7" w:themeColor="background1" w:themeShade="D8" w:sz="4" w:space="0"/>
            </w:tcBorders>
            <w:shd w:val="clear" w:color="auto" w:fill="auto"/>
          </w:tcPr>
          <w:p>
            <w:pPr>
              <w:spacing w:before="31" w:beforeLines="10" w:after="62" w:afterLines="20" w:line="240" w:lineRule="exact"/>
              <w:rPr>
                <w:b/>
                <w:bCs/>
                <w:color w:val="E60044"/>
                <w:sz w:val="18"/>
                <w:szCs w:val="18"/>
              </w:rPr>
            </w:pPr>
            <w:r>
              <w:rPr>
                <w:rFonts w:hint="eastAsia"/>
                <w:color w:val="E60044"/>
                <w:sz w:val="18"/>
                <w:szCs w:val="18"/>
              </w:rPr>
              <w:t>景点安排：</w:t>
            </w:r>
            <w:r>
              <w:rPr>
                <w:rFonts w:hint="eastAsia"/>
                <w:b/>
                <w:bCs/>
                <w:color w:val="E60044"/>
                <w:sz w:val="18"/>
                <w:szCs w:val="18"/>
              </w:rPr>
              <w:t>蜈支洲岛—七仙岭希尔顿逸林温泉度假酒店</w:t>
            </w:r>
          </w:p>
          <w:p>
            <w:pPr>
              <w:pStyle w:val="5"/>
              <w:spacing w:before="31" w:beforeLines="10" w:beforeAutospacing="0" w:after="62" w:afterLines="2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31" w:beforeLines="10" w:after="62" w:afterLines="20" w:line="24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七仙岭希尔顿逸林温泉度假酒店：</w:t>
            </w:r>
            <w:r>
              <w:rPr>
                <w:rFonts w:hint="eastAsia"/>
                <w:color w:val="262626" w:themeColor="text1" w:themeTint="D9"/>
                <w:sz w:val="18"/>
                <w:szCs w:val="18"/>
                <w14:textFill>
                  <w14:solidFill>
                    <w14:schemeClr w14:val="tx1">
                      <w14:lumMod w14:val="85000"/>
                      <w14:lumOff w14:val="15000"/>
                    </w14:schemeClr>
                  </w14:solidFill>
                </w14:textFill>
              </w:rPr>
              <w:t>迎着椰风海韵走进黎乡，十里七仙岭，免费尊享</w:t>
            </w:r>
            <w:r>
              <w:rPr>
                <w:rFonts w:hint="eastAsia"/>
                <w:b/>
                <w:bCs/>
                <w:color w:val="262626" w:themeColor="text1" w:themeTint="D9"/>
                <w:sz w:val="18"/>
                <w:szCs w:val="18"/>
                <w14:textFill>
                  <w14:solidFill>
                    <w14:schemeClr w14:val="tx1">
                      <w14:lumMod w14:val="85000"/>
                      <w14:lumOff w14:val="15000"/>
                    </w14:schemeClr>
                  </w14:solidFill>
                </w14:textFill>
              </w:rPr>
              <w:t>【七仙岭黎乡之夜】</w:t>
            </w:r>
            <w:r>
              <w:rPr>
                <w:rFonts w:hint="eastAsia"/>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u w:val="single"/>
                <w14:textFill>
                  <w14:solidFill>
                    <w14:schemeClr w14:val="tx1">
                      <w14:lumMod w14:val="85000"/>
                      <w14:lumOff w14:val="15000"/>
                    </w14:schemeClr>
                  </w14:solidFill>
                </w14:textFill>
              </w:rPr>
              <w:t>（若遇雨天、大风天气等情况，此活动将无法参加）</w:t>
            </w:r>
            <w:r>
              <w:rPr>
                <w:rFonts w:hint="eastAsia"/>
                <w:color w:val="262626" w:themeColor="text1" w:themeTint="D9"/>
                <w:sz w:val="18"/>
                <w:szCs w:val="18"/>
                <w14:textFill>
                  <w14:solidFill>
                    <w14:schemeClr w14:val="tx1">
                      <w14:lumMod w14:val="85000"/>
                      <w14:lumOff w14:val="15000"/>
                    </w14:schemeClr>
                  </w14:solidFill>
                </w14:textFill>
              </w:rPr>
              <w:t>感受好客黎民简朴热情的贵宾欢迎仪式：1、阿妹的竹竿舞，阿哥的黎歌小调暖心房。2、开始黎乡篝火晚会，穿上靓丽草裙跳起欢快的舞蹈，一起跟随音乐尽情欢呼，将烦恼抛到九霄云外</w:t>
            </w:r>
            <w:r>
              <w:rPr>
                <w:rFonts w:hint="eastAsia"/>
                <w:color w:val="262626" w:themeColor="text1" w:themeTint="D9"/>
                <w:sz w:val="18"/>
                <w:szCs w:val="18"/>
                <w:u w:val="single"/>
                <w14:textFill>
                  <w14:solidFill>
                    <w14:schemeClr w14:val="tx1">
                      <w14:lumMod w14:val="85000"/>
                      <w14:lumOff w14:val="15000"/>
                    </w14:schemeClr>
                  </w14:solidFill>
                </w14:textFill>
              </w:rPr>
              <w:t>（若当天酒店入住人数不满</w:t>
            </w:r>
            <w:r>
              <w:rPr>
                <w:color w:val="262626" w:themeColor="text1" w:themeTint="D9"/>
                <w:sz w:val="18"/>
                <w:szCs w:val="18"/>
                <w:u w:val="single"/>
                <w14:textFill>
                  <w14:solidFill>
                    <w14:schemeClr w14:val="tx1">
                      <w14:lumMod w14:val="85000"/>
                      <w14:lumOff w14:val="15000"/>
                    </w14:schemeClr>
                  </w14:solidFill>
                </w14:textFill>
              </w:rPr>
              <w:t>25</w:t>
            </w:r>
            <w:r>
              <w:rPr>
                <w:rFonts w:hint="eastAsia"/>
                <w:color w:val="262626" w:themeColor="text1" w:themeTint="D9"/>
                <w:sz w:val="18"/>
                <w:szCs w:val="18"/>
                <w:u w:val="single"/>
                <w14:textFill>
                  <w14:solidFill>
                    <w14:schemeClr w14:val="tx1">
                      <w14:lumMod w14:val="85000"/>
                      <w14:lumOff w14:val="15000"/>
                    </w14:schemeClr>
                  </w14:solidFill>
                </w14:textFill>
              </w:rPr>
              <w:t>人，则替换为大东海篝火晚会）</w:t>
            </w:r>
            <w:r>
              <w:rPr>
                <w:rFonts w:hint="eastAsia"/>
                <w:color w:val="262626" w:themeColor="text1" w:themeTint="D9"/>
                <w:sz w:val="18"/>
                <w:szCs w:val="18"/>
                <w14:textFill>
                  <w14:solidFill>
                    <w14:schemeClr w14:val="tx1">
                      <w14:lumMod w14:val="85000"/>
                      <w14:lumOff w14:val="15000"/>
                    </w14:schemeClr>
                  </w14:solidFill>
                </w14:textFill>
              </w:rPr>
              <w:t>。3、回到房间，在阳台的温泉池里注上天然雨林野溪温泉，享受独特的硅酸重碳钠型天然温泉，留下趣七仙岭独特又美好的记忆。</w:t>
            </w:r>
          </w:p>
          <w:p>
            <w:pPr>
              <w:spacing w:after="62" w:afterLines="20" w:line="24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ascii="宋体" w:hAnsi="宋体"/>
                <w:color w:val="262626" w:themeColor="text1" w:themeTint="D9"/>
                <w:sz w:val="18"/>
                <w:szCs w:val="18"/>
                <w14:textFill>
                  <w14:solidFill>
                    <w14:schemeClr w14:val="tx1">
                      <w14:lumMod w14:val="85000"/>
                      <w14:lumOff w14:val="15000"/>
                    </w14:schemeClr>
                  </w14:solidFill>
                </w14:textFill>
              </w:rPr>
              <w:t>指定酒店</w:t>
            </w:r>
          </w:p>
          <w:p>
            <w:pPr>
              <w:spacing w:after="62" w:afterLines="20" w:line="24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l2br w:val="nil"/>
              <w:tr2bl w:val="nil"/>
            </w:tcBorders>
            <w:shd w:val="clear" w:color="auto" w:fill="auto"/>
            <w:vAlign w:val="center"/>
          </w:tcPr>
          <w:p>
            <w:pPr>
              <w:spacing w:line="200" w:lineRule="atLeast"/>
              <w:rPr>
                <w:rFonts w:ascii="宋体" w:hAnsi="宋体"/>
                <w:color w:val="C00000"/>
                <w:sz w:val="18"/>
                <w:szCs w:val="18"/>
              </w:rPr>
            </w:pPr>
          </w:p>
        </w:tc>
        <w:tc>
          <w:tcPr>
            <w:tcW w:w="2574" w:type="dxa"/>
            <w:vMerge w:val="continue"/>
            <w:tcBorders>
              <w:tl2br w:val="nil"/>
              <w:tr2bl w:val="nil"/>
            </w:tcBorders>
            <w:shd w:val="clear" w:color="auto" w:fill="auto"/>
            <w:vAlign w:val="center"/>
          </w:tcPr>
          <w:p>
            <w:pPr>
              <w:spacing w:line="200" w:lineRule="atLeast"/>
              <w:rPr>
                <w:rFonts w:ascii="宋体" w:hAnsi="宋体"/>
                <w:color w:val="C00000"/>
                <w:sz w:val="18"/>
                <w:szCs w:val="18"/>
              </w:rPr>
            </w:pP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57" w:type="dxa"/>
            <w:left w:w="57" w:type="dxa"/>
            <w:bottom w:w="57" w:type="dxa"/>
            <w:right w:w="57" w:type="dxa"/>
          </w:tblCellMar>
        </w:tblPrEx>
        <w:trPr>
          <w:trHeight w:val="2646" w:hRule="atLeast"/>
          <w:jc w:val="center"/>
        </w:trPr>
        <w:tc>
          <w:tcPr>
            <w:tcW w:w="1864" w:type="dxa"/>
            <w:tcBorders>
              <w:top w:val="single" w:color="D7D7D7" w:themeColor="background1" w:themeShade="D8" w:sz="4" w:space="0"/>
              <w:bottom w:val="single" w:color="D7D7D7" w:themeColor="background1" w:themeShade="D8"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 &gt;&gt; 三亚</w:t>
            </w:r>
          </w:p>
        </w:tc>
        <w:tc>
          <w:tcPr>
            <w:tcW w:w="6480" w:type="dxa"/>
            <w:tcBorders>
              <w:top w:val="single" w:color="D7D7D7" w:themeColor="background1" w:themeShade="D8" w:sz="4" w:space="0"/>
              <w:bottom w:val="single" w:color="D7D7D7" w:themeColor="background1" w:themeShade="D8" w:sz="4" w:space="0"/>
            </w:tcBorders>
            <w:shd w:val="clear" w:color="auto" w:fill="auto"/>
          </w:tcPr>
          <w:p>
            <w:pPr>
              <w:spacing w:after="62" w:afterLines="20" w:line="240" w:lineRule="exact"/>
              <w:rPr>
                <w:b/>
                <w:bCs/>
                <w:color w:val="E60044"/>
                <w:sz w:val="18"/>
                <w:szCs w:val="18"/>
              </w:rPr>
            </w:pPr>
            <w:r>
              <w:rPr>
                <w:rFonts w:hint="eastAsia"/>
                <w:color w:val="E60044"/>
                <w:sz w:val="18"/>
                <w:szCs w:val="18"/>
              </w:rPr>
              <w:t>景点安排：</w:t>
            </w:r>
            <w:r>
              <w:rPr>
                <w:rFonts w:hint="eastAsia"/>
                <w:b/>
                <w:bCs/>
                <w:color w:val="E60044"/>
                <w:sz w:val="18"/>
                <w:szCs w:val="18"/>
              </w:rPr>
              <w:t>玫瑰谷—南山佛教文化苑—</w:t>
            </w:r>
            <w:r>
              <w:rPr>
                <w:rFonts w:hint="eastAsia"/>
                <w:b/>
                <w:bCs/>
                <w:color w:val="E60044"/>
                <w:sz w:val="18"/>
                <w:szCs w:val="18"/>
                <w:lang w:val="zh-TW" w:eastAsia="zh-TW"/>
              </w:rPr>
              <w:t>天涯海角</w:t>
            </w:r>
            <w:r>
              <w:rPr>
                <w:rFonts w:hint="eastAsia"/>
                <w:b/>
                <w:bCs/>
                <w:color w:val="E60044"/>
                <w:sz w:val="18"/>
                <w:szCs w:val="18"/>
              </w:rPr>
              <w:t xml:space="preserve"> </w:t>
            </w:r>
          </w:p>
          <w:p>
            <w:pPr>
              <w:pStyle w:val="5"/>
              <w:spacing w:before="31" w:beforeLines="10" w:beforeAutospacing="0" w:after="62" w:afterLines="2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w:t>
            </w:r>
            <w:r>
              <w:rPr>
                <w:rFonts w:hint="eastAsia"/>
                <w:bCs/>
                <w:color w:val="262626" w:themeColor="text1" w:themeTint="D9"/>
                <w:sz w:val="18"/>
                <w:szCs w:val="18"/>
                <w14:textFill>
                  <w14:solidFill>
                    <w14:schemeClr w14:val="tx1">
                      <w14:lumMod w14:val="85000"/>
                      <w14:lumOff w14:val="15000"/>
                    </w14:schemeClr>
                  </w14:solidFill>
                </w14:textFill>
              </w:rPr>
              <w:t>不少于90分钟）以“美丽•浪漫•爱”为主题的亚洲规模最大的亚龙湾国际玫瑰谷，徜徉在玫瑰花海之中，奔赴一场极致浪漫的玫瑰之约。</w:t>
            </w:r>
          </w:p>
          <w:p>
            <w:pPr>
              <w:pStyle w:val="5"/>
              <w:spacing w:before="0" w:beforeAutospacing="0" w:after="62" w:afterLines="2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after="62" w:afterLines="20" w:line="240" w:lineRule="exac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after="62" w:afterLines="20" w:line="240" w:lineRule="exact"/>
              <w:rPr>
                <w:rFonts w:ascii="宋体" w:hAnsi="宋体" w:eastAsia="宋体" w:cs="宋体"/>
                <w:b/>
                <w:bCs/>
                <w:color w:val="262626" w:themeColor="text1" w:themeTint="D9"/>
                <w:sz w:val="18"/>
                <w:szCs w:val="18"/>
                <w:lang w:val="zh-TW"/>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晚餐享用海鲜大咖餐，丰盛品种，鲜活美味，海岛旅行不可错过的美食。</w:t>
            </w:r>
          </w:p>
          <w:p>
            <w:pPr>
              <w:spacing w:after="62" w:afterLines="20" w:line="24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ascii="宋体" w:hAnsi="宋体"/>
                <w:color w:val="262626" w:themeColor="text1" w:themeTint="D9"/>
                <w:sz w:val="18"/>
                <w:szCs w:val="18"/>
                <w14:textFill>
                  <w14:solidFill>
                    <w14:schemeClr w14:val="tx1">
                      <w14:lumMod w14:val="85000"/>
                      <w14:lumOff w14:val="15000"/>
                    </w14:schemeClr>
                  </w14:solidFill>
                </w14:textFill>
              </w:rPr>
              <w:t>指定酒店</w:t>
            </w:r>
          </w:p>
          <w:p>
            <w:pPr>
              <w:spacing w:after="62" w:afterLines="20" w:line="24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中餐：养生特色餐   晚餐：海鲜大咖餐</w:t>
            </w:r>
          </w:p>
        </w:tc>
        <w:tc>
          <w:tcPr>
            <w:tcW w:w="307" w:type="dxa"/>
            <w:gridSpan w:val="2"/>
            <w:vMerge w:val="continue"/>
            <w:tcBorders>
              <w:tl2br w:val="nil"/>
              <w:tr2bl w:val="nil"/>
            </w:tcBorders>
            <w:shd w:val="clear" w:color="auto" w:fill="auto"/>
            <w:vAlign w:val="center"/>
          </w:tcPr>
          <w:p>
            <w:pPr>
              <w:spacing w:line="200" w:lineRule="atLeast"/>
              <w:rPr>
                <w:rFonts w:ascii="宋体" w:hAnsi="宋体"/>
                <w:color w:val="C00000"/>
                <w:sz w:val="18"/>
                <w:szCs w:val="18"/>
              </w:rPr>
            </w:pPr>
          </w:p>
        </w:tc>
        <w:tc>
          <w:tcPr>
            <w:tcW w:w="2574" w:type="dxa"/>
            <w:vMerge w:val="continue"/>
            <w:tcBorders>
              <w:tl2br w:val="nil"/>
              <w:tr2bl w:val="nil"/>
            </w:tcBorders>
            <w:shd w:val="clear" w:color="auto" w:fill="auto"/>
            <w:vAlign w:val="center"/>
          </w:tcPr>
          <w:p>
            <w:pPr>
              <w:spacing w:line="200" w:lineRule="atLeast"/>
              <w:rPr>
                <w:rFonts w:ascii="宋体" w:hAnsi="宋体"/>
                <w:color w:val="C00000"/>
                <w:sz w:val="18"/>
                <w:szCs w:val="18"/>
              </w:rPr>
            </w:pP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57" w:type="dxa"/>
            <w:left w:w="57" w:type="dxa"/>
            <w:bottom w:w="57" w:type="dxa"/>
            <w:right w:w="57" w:type="dxa"/>
          </w:tblCellMar>
        </w:tblPrEx>
        <w:trPr>
          <w:trHeight w:val="2079" w:hRule="atLeast"/>
          <w:jc w:val="center"/>
        </w:trPr>
        <w:tc>
          <w:tcPr>
            <w:tcW w:w="1864" w:type="dxa"/>
            <w:tcBorders>
              <w:top w:val="single" w:color="D7D7D7" w:themeColor="background1" w:themeShade="D8" w:sz="4" w:space="0"/>
              <w:bottom w:val="single" w:color="D7D7D7" w:themeColor="background1" w:themeShade="D8"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80" w:type="dxa"/>
            <w:tcBorders>
              <w:top w:val="single" w:color="D7D7D7" w:themeColor="background1" w:themeShade="D8" w:sz="4" w:space="0"/>
              <w:bottom w:val="single" w:color="D7D7D7" w:themeColor="background1" w:themeShade="D8" w:sz="4" w:space="0"/>
            </w:tcBorders>
            <w:shd w:val="clear" w:color="auto" w:fill="auto"/>
          </w:tcPr>
          <w:p>
            <w:pPr>
              <w:spacing w:after="31" w:afterLines="10" w:line="240" w:lineRule="exact"/>
              <w:rPr>
                <w:b/>
                <w:bCs/>
                <w:color w:val="E60044"/>
                <w:sz w:val="18"/>
                <w:szCs w:val="18"/>
              </w:rPr>
            </w:pPr>
            <w:r>
              <w:rPr>
                <w:rFonts w:hint="eastAsia"/>
                <w:color w:val="E60044"/>
                <w:sz w:val="18"/>
                <w:szCs w:val="18"/>
              </w:rPr>
              <w:t>景点安排：</w:t>
            </w:r>
            <w:r>
              <w:rPr>
                <w:rFonts w:hint="eastAsia"/>
                <w:b/>
                <w:bCs/>
                <w:color w:val="E60044"/>
                <w:sz w:val="18"/>
                <w:szCs w:val="18"/>
              </w:rPr>
              <w:t xml:space="preserve">美丽商城—赠送宋城千古情（不含演出）—热带农业示范基地 </w:t>
            </w:r>
          </w:p>
          <w:p>
            <w:pPr>
              <w:spacing w:before="31" w:beforeLines="10" w:after="31" w:afterLines="10" w:line="24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pStyle w:val="5"/>
              <w:spacing w:before="0" w:beforeAutospacing="0" w:after="31" w:afterLines="1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（游览时间不少于120分钟，不含演出）这里有历史复苏的各种盛筵、精彩的民俗演出、有趣的现场互动、仿佛静止千年的黎村苗寨。今日午餐不含，可在景区小吃城边逛边吃，自由选择，丰俭由己。</w:t>
            </w:r>
          </w:p>
          <w:p>
            <w:pPr>
              <w:spacing w:after="31" w:afterLines="10" w:line="24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（游览不少于90分钟）在这里了解海南独特的天然橡胶文化，秉承“科技、环保、健康、时尚”的理念，精湛制作各种工艺产品，打造轻松休闲的生活方式。</w:t>
            </w:r>
          </w:p>
          <w:p>
            <w:pPr>
              <w:spacing w:after="31" w:afterLines="10" w:line="24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color w:val="262626" w:themeColor="text1" w:themeTint="D9"/>
                <w:sz w:val="18"/>
                <w:szCs w:val="18"/>
                <w14:textFill>
                  <w14:solidFill>
                    <w14:schemeClr w14:val="tx1">
                      <w14:lumMod w14:val="85000"/>
                      <w14:lumOff w14:val="15000"/>
                    </w14:schemeClr>
                  </w14:solidFill>
                </w14:textFill>
              </w:rPr>
              <w:t>指定酒店</w:t>
            </w:r>
          </w:p>
          <w:p>
            <w:pPr>
              <w:spacing w:after="31" w:afterLines="10" w:line="24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l2br w:val="nil"/>
              <w:tr2bl w:val="nil"/>
            </w:tcBorders>
            <w:shd w:val="clear" w:color="auto" w:fill="auto"/>
            <w:vAlign w:val="center"/>
          </w:tcPr>
          <w:p>
            <w:pPr>
              <w:spacing w:line="200" w:lineRule="atLeast"/>
              <w:rPr>
                <w:rFonts w:ascii="宋体" w:hAnsi="宋体"/>
                <w:color w:val="C00000"/>
                <w:sz w:val="18"/>
                <w:szCs w:val="18"/>
              </w:rPr>
            </w:pPr>
          </w:p>
        </w:tc>
        <w:tc>
          <w:tcPr>
            <w:tcW w:w="2574" w:type="dxa"/>
            <w:vMerge w:val="continue"/>
            <w:tcBorders>
              <w:tl2br w:val="nil"/>
              <w:tr2bl w:val="nil"/>
            </w:tcBorders>
            <w:shd w:val="clear" w:color="auto" w:fill="auto"/>
            <w:vAlign w:val="center"/>
          </w:tcPr>
          <w:p>
            <w:pPr>
              <w:spacing w:line="200" w:lineRule="atLeast"/>
              <w:rPr>
                <w:rFonts w:ascii="宋体" w:hAnsi="宋体"/>
                <w:color w:val="C00000"/>
                <w:sz w:val="18"/>
                <w:szCs w:val="18"/>
              </w:rPr>
            </w:pP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57" w:type="dxa"/>
            <w:left w:w="57" w:type="dxa"/>
            <w:bottom w:w="57" w:type="dxa"/>
            <w:right w:w="57" w:type="dxa"/>
          </w:tblCellMar>
        </w:tblPrEx>
        <w:trPr>
          <w:trHeight w:val="2076" w:hRule="atLeast"/>
          <w:jc w:val="center"/>
        </w:trPr>
        <w:tc>
          <w:tcPr>
            <w:tcW w:w="1864" w:type="dxa"/>
            <w:tcBorders>
              <w:top w:val="single" w:color="D7D7D7" w:themeColor="background1" w:themeShade="D8" w:sz="4" w:space="0"/>
              <w:bottom w:val="single" w:color="D7D7D7" w:themeColor="background1" w:themeShade="D8" w:sz="4" w:space="0"/>
            </w:tcBorders>
            <w:shd w:val="clear" w:color="auto" w:fill="auto"/>
            <w:vAlign w:val="top"/>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80" w:type="dxa"/>
            <w:tcBorders>
              <w:top w:val="single" w:color="D7D7D7" w:themeColor="background1" w:themeShade="D8" w:sz="4" w:space="0"/>
              <w:bottom w:val="single" w:color="D7D7D7" w:themeColor="background1" w:themeShade="D8" w:sz="4" w:space="0"/>
            </w:tcBorders>
            <w:shd w:val="clear" w:color="auto" w:fill="auto"/>
            <w:vAlign w:val="center"/>
          </w:tcPr>
          <w:p>
            <w:pPr>
              <w:spacing w:after="62" w:afterLines="20" w:line="240" w:lineRule="exact"/>
              <w:rPr>
                <w:rFonts w:hint="eastAsia"/>
                <w:color w:val="E60044"/>
                <w:sz w:val="18"/>
                <w:szCs w:val="18"/>
                <w:lang w:eastAsia="zh-CN"/>
              </w:rPr>
            </w:pPr>
            <w:r>
              <w:rPr>
                <w:rFonts w:hint="eastAsia"/>
                <w:color w:val="E60044"/>
                <w:sz w:val="18"/>
                <w:szCs w:val="18"/>
              </w:rPr>
              <w:t>景点安排：</w:t>
            </w:r>
            <w:r>
              <w:rPr>
                <w:rFonts w:hint="eastAsia"/>
                <w:b/>
                <w:bCs/>
                <w:color w:val="E60044"/>
                <w:sz w:val="18"/>
                <w:szCs w:val="18"/>
                <w:lang w:eastAsia="zh-CN"/>
              </w:rPr>
              <w:t>赠送</w:t>
            </w:r>
            <w:r>
              <w:rPr>
                <w:rFonts w:hint="eastAsia"/>
                <w:b/>
                <w:bCs/>
                <w:color w:val="E60044"/>
                <w:sz w:val="18"/>
                <w:szCs w:val="18"/>
                <w:lang w:val="zh-TW"/>
              </w:rPr>
              <w:t>跨境商品免税商城</w:t>
            </w:r>
            <w:r>
              <w:rPr>
                <w:rFonts w:hint="eastAsia"/>
                <w:b/>
                <w:bCs/>
                <w:color w:val="E60044"/>
                <w:sz w:val="18"/>
                <w:szCs w:val="18"/>
                <w:lang w:eastAsia="zh-CN"/>
              </w:rPr>
              <w:t>—槟榔谷</w:t>
            </w:r>
          </w:p>
          <w:p>
            <w:pPr>
              <w:spacing w:after="62" w:afterLines="20" w:line="240" w:lineRule="exact"/>
              <w:rPr>
                <w:rFonts w:hint="eastAsia"/>
                <w:b w:val="0"/>
                <w:bCs w:val="0"/>
                <w:color w:val="auto"/>
                <w:sz w:val="18"/>
                <w:szCs w:val="18"/>
              </w:rPr>
            </w:pPr>
            <w:r>
              <w:rPr>
                <w:rFonts w:hint="eastAsia"/>
                <w:b/>
                <w:bCs/>
                <w:color w:val="auto"/>
                <w:sz w:val="18"/>
                <w:szCs w:val="18"/>
                <w:lang w:val="zh-TW" w:eastAsia="zh-CN"/>
              </w:rPr>
              <w:t>赠送跨境商品【免税商城】：</w:t>
            </w:r>
            <w:r>
              <w:rPr>
                <w:rFonts w:hint="eastAsia"/>
                <w:b w:val="0"/>
                <w:bCs w:val="0"/>
                <w:color w:val="auto"/>
                <w:sz w:val="18"/>
                <w:szCs w:val="18"/>
                <w:lang w:val="zh-TW" w:eastAsia="zh-CN"/>
              </w:rPr>
              <w:t>（</w:t>
            </w:r>
            <w:r>
              <w:rPr>
                <w:rFonts w:hint="eastAsia"/>
                <w:b w:val="0"/>
                <w:bCs w:val="0"/>
                <w:color w:val="auto"/>
                <w:sz w:val="18"/>
                <w:szCs w:val="18"/>
              </w:rPr>
              <w:t>游览时间不少于120分钟</w:t>
            </w:r>
            <w:r>
              <w:rPr>
                <w:rFonts w:hint="eastAsia"/>
                <w:b w:val="0"/>
                <w:bCs w:val="0"/>
                <w:color w:val="auto"/>
                <w:sz w:val="18"/>
                <w:szCs w:val="18"/>
                <w:lang w:val="zh-TW" w:eastAsia="zh-CN"/>
              </w:rPr>
              <w:t>）</w:t>
            </w:r>
            <w:r>
              <w:rPr>
                <w:rFonts w:hint="eastAsia"/>
                <w:b w:val="0"/>
                <w:bCs w:val="0"/>
                <w:color w:val="auto"/>
                <w:sz w:val="18"/>
                <w:szCs w:val="18"/>
              </w:rPr>
              <w:t>，集餐饮、香化、箱包、娱乐、休闲、珠宝于一体的商业综合体；</w:t>
            </w:r>
          </w:p>
          <w:p>
            <w:pPr>
              <w:spacing w:after="62" w:afterLines="20" w:line="240" w:lineRule="exact"/>
              <w:rPr>
                <w:rFonts w:asciiTheme="minorEastAsia" w:hAnsiTheme="minorEastAsia"/>
                <w:bCs/>
                <w:sz w:val="18"/>
                <w:szCs w:val="18"/>
              </w:rPr>
            </w:pPr>
            <w:r>
              <w:rPr>
                <w:rFonts w:hint="eastAsia"/>
                <w:b/>
                <w:bCs/>
                <w:color w:val="auto"/>
                <w:sz w:val="18"/>
                <w:szCs w:val="18"/>
                <w:lang w:val="en-US" w:eastAsia="zh-CN"/>
              </w:rPr>
              <w:t>【槟榔谷】：</w:t>
            </w:r>
            <w:r>
              <w:rPr>
                <w:rFonts w:hint="eastAsia" w:asciiTheme="minorEastAsia" w:hAnsiTheme="minorEastAsia"/>
                <w:bCs/>
                <w:sz w:val="18"/>
                <w:szCs w:val="18"/>
              </w:rPr>
              <w:t>（游览时间不少于120分钟，不含景区内表演）</w:t>
            </w:r>
            <w:r>
              <w:rPr>
                <w:rFonts w:hint="eastAsia" w:asciiTheme="minorEastAsia" w:hAnsiTheme="minorEastAsia"/>
                <w:bCs/>
                <w:sz w:val="18"/>
                <w:szCs w:val="18"/>
                <w:lang w:eastAsia="zh-CN"/>
              </w:rPr>
              <w:t>，</w:t>
            </w:r>
            <w:r>
              <w:rPr>
                <w:rFonts w:hint="eastAsia" w:asciiTheme="minorEastAsia" w:hAnsiTheme="minorEastAsia"/>
                <w:bCs/>
                <w:sz w:val="18"/>
                <w:szCs w:val="18"/>
              </w:rPr>
              <w:t>中国首家民族文化型5A级景区，海南民族文化的“活化石”，婀娜多姿的槟榔林海，置身于古木参天、藤蔓交织的热带雨林中。</w:t>
            </w:r>
          </w:p>
          <w:p>
            <w:pPr>
              <w:spacing w:after="31" w:afterLines="10" w:line="24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color w:val="262626" w:themeColor="text1" w:themeTint="D9"/>
                <w:sz w:val="18"/>
                <w:szCs w:val="18"/>
                <w14:textFill>
                  <w14:solidFill>
                    <w14:schemeClr w14:val="tx1">
                      <w14:lumMod w14:val="85000"/>
                      <w14:lumOff w14:val="15000"/>
                    </w14:schemeClr>
                  </w14:solidFill>
                </w14:textFill>
              </w:rPr>
              <w:t>指定酒店</w:t>
            </w:r>
          </w:p>
          <w:p>
            <w:pPr>
              <w:spacing w:after="62" w:afterLines="20" w:line="240" w:lineRule="exact"/>
              <w:rPr>
                <w:sz w:val="18"/>
                <w:szCs w:val="18"/>
                <w:lang w:val="zh-TW" w:eastAsia="zh-TW"/>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tcBorders>
              <w:tl2br w:val="nil"/>
              <w:tr2bl w:val="nil"/>
            </w:tcBorders>
            <w:shd w:val="clear" w:color="auto" w:fill="auto"/>
            <w:vAlign w:val="top"/>
          </w:tcPr>
          <w:p>
            <w:pPr>
              <w:spacing w:line="200" w:lineRule="exact"/>
              <w:rPr>
                <w:color w:val="C00000"/>
                <w:sz w:val="18"/>
                <w:szCs w:val="18"/>
                <w:lang w:val="zh-TW"/>
              </w:rPr>
            </w:pPr>
          </w:p>
        </w:tc>
        <w:tc>
          <w:tcPr>
            <w:tcW w:w="2574" w:type="dxa"/>
            <w:tcBorders>
              <w:tl2br w:val="nil"/>
              <w:tr2bl w:val="nil"/>
            </w:tcBorders>
            <w:shd w:val="clear" w:color="auto" w:fill="auto"/>
            <w:vAlign w:val="center"/>
          </w:tcPr>
          <w:p>
            <w:pPr>
              <w:spacing w:after="62" w:afterLines="20" w:line="240" w:lineRule="exact"/>
              <w:rPr>
                <w:color w:val="C00000"/>
                <w:sz w:val="18"/>
                <w:szCs w:val="18"/>
                <w:lang w:val="zh-TW"/>
              </w:rPr>
            </w:pP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57" w:type="dxa"/>
            <w:left w:w="57" w:type="dxa"/>
            <w:bottom w:w="57" w:type="dxa"/>
            <w:right w:w="57" w:type="dxa"/>
          </w:tblCellMar>
        </w:tblPrEx>
        <w:trPr>
          <w:trHeight w:val="744" w:hRule="atLeast"/>
          <w:jc w:val="center"/>
        </w:trPr>
        <w:tc>
          <w:tcPr>
            <w:tcW w:w="1864" w:type="dxa"/>
            <w:tcBorders>
              <w:top w:val="single" w:color="D7D7D7" w:themeColor="background1" w:themeShade="D8"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80" w:type="dxa"/>
            <w:tcBorders>
              <w:top w:val="single" w:color="D7D7D7" w:themeColor="background1" w:themeShade="D8" w:sz="4" w:space="0"/>
            </w:tcBorders>
            <w:shd w:val="clear" w:color="auto" w:fill="auto"/>
          </w:tcPr>
          <w:p>
            <w:pPr>
              <w:spacing w:after="31" w:afterLines="10" w:line="240" w:lineRule="exact"/>
              <w:rPr>
                <w:sz w:val="18"/>
                <w:szCs w:val="18"/>
                <w:lang w:val="zh-TW"/>
              </w:rPr>
            </w:pPr>
            <w:r>
              <w:rPr>
                <w:rFonts w:hint="eastAsia"/>
                <w:sz w:val="18"/>
                <w:szCs w:val="18"/>
                <w:lang w:val="zh-TW"/>
              </w:rPr>
              <w:t>专人送机，乘机返回温馨家园（酒店退房时间为中午12点前）。</w:t>
            </w:r>
          </w:p>
          <w:p>
            <w:pPr>
              <w:spacing w:after="31" w:afterLines="10" w:line="24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after="31" w:afterLines="10" w:line="240" w:lineRule="exact"/>
              <w:rPr>
                <w:color w:val="C00000"/>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l2br w:val="nil"/>
              <w:tr2bl w:val="nil"/>
            </w:tcBorders>
            <w:shd w:val="clear" w:color="auto" w:fill="auto"/>
            <w:vAlign w:val="center"/>
          </w:tcPr>
          <w:p>
            <w:pPr>
              <w:spacing w:line="200" w:lineRule="atLeast"/>
              <w:rPr>
                <w:color w:val="C00000"/>
                <w:sz w:val="18"/>
                <w:szCs w:val="18"/>
                <w:lang w:val="zh-TW"/>
              </w:rPr>
            </w:pPr>
          </w:p>
        </w:tc>
        <w:tc>
          <w:tcPr>
            <w:tcW w:w="2574" w:type="dxa"/>
            <w:tcBorders>
              <w:tl2br w:val="nil"/>
              <w:tr2bl w:val="nil"/>
            </w:tcBorders>
            <w:shd w:val="clear" w:color="auto" w:fill="auto"/>
            <w:vAlign w:val="center"/>
          </w:tcPr>
          <w:p>
            <w:pPr>
              <w:spacing w:line="200" w:lineRule="atLeast"/>
              <w:rPr>
                <w:color w:val="C00000"/>
                <w:sz w:val="18"/>
                <w:szCs w:val="18"/>
                <w:lang w:val="zh-TW"/>
              </w:rPr>
            </w:pPr>
          </w:p>
        </w:tc>
      </w:tr>
    </w:tbl>
    <w:tbl>
      <w:tblPr>
        <w:tblStyle w:val="6"/>
        <w:tblpPr w:leftFromText="180" w:rightFromText="180" w:vertAnchor="text" w:horzAnchor="page" w:tblpX="397" w:tblpY="174"/>
        <w:tblOverlap w:val="never"/>
        <w:tblW w:w="11225" w:type="dxa"/>
        <w:tblInd w:w="0" w:type="dxa"/>
        <w:tblLayout w:type="fixed"/>
        <w:tblCellMar>
          <w:top w:w="113" w:type="dxa"/>
          <w:left w:w="57" w:type="dxa"/>
          <w:bottom w:w="113" w:type="dxa"/>
          <w:right w:w="57" w:type="dxa"/>
        </w:tblCellMar>
      </w:tblPr>
      <w:tblGrid>
        <w:gridCol w:w="1188"/>
        <w:gridCol w:w="501"/>
        <w:gridCol w:w="9536"/>
      </w:tblGrid>
      <w:tr>
        <w:tblPrEx>
          <w:tblCellMar>
            <w:top w:w="113" w:type="dxa"/>
            <w:left w:w="57" w:type="dxa"/>
            <w:bottom w:w="113" w:type="dxa"/>
            <w:right w:w="57" w:type="dxa"/>
          </w:tblCellMar>
        </w:tblPrEx>
        <w:trPr>
          <w:trHeight w:val="120" w:hRule="atLeast"/>
        </w:trPr>
        <w:tc>
          <w:tcPr>
            <w:tcW w:w="11225" w:type="dxa"/>
            <w:gridSpan w:val="3"/>
            <w:tcBorders>
              <w:top w:val="single" w:color="FFFFFF" w:themeColor="background1" w:sz="4" w:space="0"/>
              <w:left w:val="single" w:color="FFFFFF" w:themeColor="background1" w:sz="4" w:space="0"/>
              <w:bottom w:val="single" w:color="E60044" w:sz="4" w:space="0"/>
              <w:right w:val="single" w:color="FFFFFF" w:themeColor="background1" w:sz="4" w:space="0"/>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CellMar>
            <w:top w:w="113" w:type="dxa"/>
            <w:left w:w="57" w:type="dxa"/>
            <w:bottom w:w="113" w:type="dxa"/>
            <w:right w:w="57" w:type="dxa"/>
          </w:tblCellMar>
        </w:tblPrEx>
        <w:trPr>
          <w:trHeight w:val="3705" w:hRule="atLeast"/>
        </w:trPr>
        <w:tc>
          <w:tcPr>
            <w:tcW w:w="11225" w:type="dxa"/>
            <w:gridSpan w:val="3"/>
            <w:tcBorders>
              <w:top w:val="single" w:color="E60044" w:sz="4" w:space="0"/>
              <w:left w:val="single" w:color="FFFFFF" w:sz="4" w:space="0"/>
              <w:bottom w:val="single" w:color="FFFFFF" w:themeColor="background1"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全程入住4晚一线海边酒店海景房，1晚七仙岭温泉度假酒店；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en-US" w:eastAsia="zh-CN"/>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正餐标30元/人/餐，升级品鉴“特色海鲜大咖餐”、“黎家自助火锅+土窑鸡”、“养生特色餐”各1次；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 xml:space="preserve">三亚金莎珺唐酒店：1.2米以下免费，1.2-1.4米69元/位，1.4米以上138元/人； </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七仙岭</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希尔顿逸林</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酒店：5</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岁</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以下免费，5-12</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岁</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60元/位，12</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岁</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以上</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按成人价</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CellMar>
            <w:top w:w="113" w:type="dxa"/>
            <w:left w:w="57" w:type="dxa"/>
            <w:bottom w:w="113" w:type="dxa"/>
            <w:right w:w="57" w:type="dxa"/>
          </w:tblCellMar>
        </w:tblPrEx>
        <w:trPr>
          <w:trHeight w:val="195" w:hRule="atLeast"/>
        </w:trPr>
        <w:tc>
          <w:tcPr>
            <w:tcW w:w="11225" w:type="dxa"/>
            <w:gridSpan w:val="3"/>
            <w:tcBorders>
              <w:top w:val="single" w:color="FFFFFF" w:themeColor="background1" w:sz="4" w:space="0"/>
              <w:left w:val="single" w:color="FFFFFF" w:themeColor="background1" w:sz="4" w:space="0"/>
              <w:bottom w:val="single" w:color="E60044" w:sz="4" w:space="0"/>
              <w:right w:val="single" w:color="FFFFFF" w:themeColor="background1" w:sz="4" w:space="0"/>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CellMar>
            <w:top w:w="113" w:type="dxa"/>
            <w:left w:w="57" w:type="dxa"/>
            <w:bottom w:w="113" w:type="dxa"/>
            <w:right w:w="57" w:type="dxa"/>
          </w:tblCellMar>
        </w:tblPrEx>
        <w:trPr>
          <w:trHeight w:val="101" w:hRule="atLeast"/>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CellMar>
            <w:top w:w="113" w:type="dxa"/>
            <w:left w:w="57" w:type="dxa"/>
            <w:bottom w:w="113" w:type="dxa"/>
            <w:right w:w="57" w:type="dxa"/>
          </w:tblCellMar>
        </w:tblPrEx>
        <w:trPr>
          <w:trHeight w:val="90"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金莎珺唐、海立方、十八度蓝、明申、帆船港、洛克海景酒店、希尔顿花园酒店、海韵酒店、天通康达</w:t>
            </w:r>
          </w:p>
        </w:tc>
      </w:tr>
      <w:tr>
        <w:tblPrEx>
          <w:tblCellMar>
            <w:top w:w="113" w:type="dxa"/>
            <w:left w:w="57" w:type="dxa"/>
            <w:bottom w:w="113" w:type="dxa"/>
            <w:right w:w="57" w:type="dxa"/>
          </w:tblCellMar>
        </w:tblPrEx>
        <w:trPr>
          <w:trHeight w:val="90"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保亭·特色酒店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七仙岭希尔顿、七仙岭君澜度假酒店、七仙岭龙湾珺唐酒店</w:t>
            </w:r>
          </w:p>
        </w:tc>
      </w:tr>
      <w:tr>
        <w:tblPrEx>
          <w:tblCellMar>
            <w:top w:w="113" w:type="dxa"/>
            <w:left w:w="57" w:type="dxa"/>
            <w:bottom w:w="113" w:type="dxa"/>
            <w:right w:w="57" w:type="dxa"/>
          </w:tblCellMar>
        </w:tblPrEx>
        <w:trPr>
          <w:trHeight w:val="466" w:hRule="atLeast"/>
        </w:trPr>
        <w:tc>
          <w:tcPr>
            <w:tcW w:w="11225" w:type="dxa"/>
            <w:gridSpan w:val="3"/>
            <w:tcBorders>
              <w:top w:val="single" w:color="FFFFFF" w:sz="4" w:space="0"/>
              <w:left w:val="single" w:color="FFFFFF" w:sz="4" w:space="0"/>
              <w:bottom w:val="single" w:color="FFFFFF" w:themeColor="background1" w:sz="4" w:space="0"/>
              <w:right w:val="single" w:color="FFFFFF" w:sz="4" w:space="0"/>
              <w:tl2br w:val="nil"/>
              <w:tr2bl w:val="nil"/>
            </w:tcBorders>
            <w:shd w:val="clear" w:color="auto" w:fill="auto"/>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CellMar>
            <w:top w:w="113" w:type="dxa"/>
            <w:left w:w="57" w:type="dxa"/>
            <w:bottom w:w="113" w:type="dxa"/>
            <w:right w:w="57" w:type="dxa"/>
          </w:tblCellMar>
        </w:tblPrEx>
        <w:trPr>
          <w:trHeight w:val="426" w:hRule="atLeast"/>
        </w:trPr>
        <w:tc>
          <w:tcPr>
            <w:tcW w:w="11225" w:type="dxa"/>
            <w:gridSpan w:val="3"/>
            <w:tcBorders>
              <w:top w:val="single" w:color="FFFFFF" w:themeColor="background1" w:sz="4" w:space="0"/>
              <w:left w:val="single" w:color="FFFFFF" w:themeColor="background1" w:sz="4" w:space="0"/>
              <w:bottom w:val="single" w:color="E60044" w:sz="4" w:space="0"/>
              <w:right w:val="single" w:color="FFFFFF" w:themeColor="background1" w:sz="4" w:space="0"/>
            </w:tcBorders>
            <w:shd w:val="clear" w:color="auto" w:fill="auto"/>
            <w:vAlign w:val="center"/>
          </w:tcPr>
          <w:p>
            <w:pPr>
              <w:jc w:val="center"/>
              <w:rPr>
                <w:color w:val="E60044"/>
              </w:rPr>
            </w:pPr>
            <w:r>
              <w:rPr>
                <w:rFonts w:hint="eastAsia" w:ascii="宋体" w:hAnsi="宋体"/>
                <w:b/>
                <w:color w:val="E60044"/>
                <w:sz w:val="28"/>
                <w:szCs w:val="28"/>
              </w:rPr>
              <w:t>餐饮说明</w:t>
            </w:r>
          </w:p>
        </w:tc>
      </w:tr>
      <w:tr>
        <w:tblPrEx>
          <w:tblCellMar>
            <w:top w:w="113" w:type="dxa"/>
            <w:left w:w="57" w:type="dxa"/>
            <w:bottom w:w="113" w:type="dxa"/>
            <w:right w:w="57" w:type="dxa"/>
          </w:tblCellMar>
        </w:tblPrEx>
        <w:trPr>
          <w:trHeight w:val="133" w:hRule="atLeast"/>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海鲜大咖餐</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南椰子炖鸡盅、蒜蓉蒸波士顿龙虾、原只蒸野生大花蟹、白灼海中虾、海南四大名菜之首——白切文昌鸡、粉丝蒸生蚝、蒜蓉蒸黑口贝、银丝扇贝、香煎白昌鱼、QQ墨鱼仔、蒜蓉蒸鲍鱼、彩椒鱼肚、绿色蔬菜、椰子饭、金银馒头、鱼翅鱼肚羹、水果</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rPr>
          <w:trHeight w:val="90"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5" w:type="dxa"/>
            <w:tcBorders>
              <w:tl2br w:val="nil"/>
              <w:tr2bl w:val="nil"/>
            </w:tcBorders>
            <w:shd w:val="clear" w:color="auto" w:fill="auto"/>
          </w:tcPr>
          <w:tbl>
            <w:tblPr>
              <w:tblStyle w:val="6"/>
              <w:tblpPr w:leftFromText="180" w:rightFromText="180" w:vertAnchor="text" w:horzAnchor="page" w:tblpX="415" w:tblpY="93"/>
              <w:tblOverlap w:val="never"/>
              <w:tblW w:w="1122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0自费”解释：我社郑重承诺本线路全程不推荐任何自费景点及夜间娱乐项目，但不适用于游客自行自愿所选择的：海上自愿娱乐项目、景区内交通工具及特色演出（千古情演出300元/人，实际价格请以运营商公布为准）。</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361" w:hanging="361" w:hanging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spacing w:before="62" w:beforeLines="20" w:after="62" w:afterLines="20"/>
              <w:ind w:left="420" w:hanging="420" w:hanging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23807"/>
    <w:rsid w:val="00042707"/>
    <w:rsid w:val="00062A1E"/>
    <w:rsid w:val="000F12DD"/>
    <w:rsid w:val="001138A1"/>
    <w:rsid w:val="00184F0E"/>
    <w:rsid w:val="001A027C"/>
    <w:rsid w:val="001A5209"/>
    <w:rsid w:val="001A664C"/>
    <w:rsid w:val="00285B85"/>
    <w:rsid w:val="002950DF"/>
    <w:rsid w:val="002A485C"/>
    <w:rsid w:val="003028EE"/>
    <w:rsid w:val="00303844"/>
    <w:rsid w:val="00307693"/>
    <w:rsid w:val="003338BD"/>
    <w:rsid w:val="003F3233"/>
    <w:rsid w:val="00404ADB"/>
    <w:rsid w:val="0042411B"/>
    <w:rsid w:val="00473CE0"/>
    <w:rsid w:val="004801FC"/>
    <w:rsid w:val="004A2064"/>
    <w:rsid w:val="004A4B89"/>
    <w:rsid w:val="004B1C75"/>
    <w:rsid w:val="0053648E"/>
    <w:rsid w:val="00550967"/>
    <w:rsid w:val="005805A8"/>
    <w:rsid w:val="005C445F"/>
    <w:rsid w:val="005E6E91"/>
    <w:rsid w:val="005F357D"/>
    <w:rsid w:val="00601DB4"/>
    <w:rsid w:val="00672B57"/>
    <w:rsid w:val="00675E46"/>
    <w:rsid w:val="006A7EFE"/>
    <w:rsid w:val="00722AB4"/>
    <w:rsid w:val="00723304"/>
    <w:rsid w:val="00725020"/>
    <w:rsid w:val="007605D7"/>
    <w:rsid w:val="00790061"/>
    <w:rsid w:val="007D34BF"/>
    <w:rsid w:val="007D6673"/>
    <w:rsid w:val="007D7877"/>
    <w:rsid w:val="00821875"/>
    <w:rsid w:val="00837AAD"/>
    <w:rsid w:val="00843922"/>
    <w:rsid w:val="008A4E3D"/>
    <w:rsid w:val="008D4A5A"/>
    <w:rsid w:val="009046BE"/>
    <w:rsid w:val="009B1182"/>
    <w:rsid w:val="00A36524"/>
    <w:rsid w:val="00A76F5A"/>
    <w:rsid w:val="00A826A6"/>
    <w:rsid w:val="00A960BC"/>
    <w:rsid w:val="00AB7A30"/>
    <w:rsid w:val="00B10708"/>
    <w:rsid w:val="00B16C25"/>
    <w:rsid w:val="00B30C1E"/>
    <w:rsid w:val="00B43DC5"/>
    <w:rsid w:val="00B45A97"/>
    <w:rsid w:val="00B55630"/>
    <w:rsid w:val="00B71F6B"/>
    <w:rsid w:val="00B87ADF"/>
    <w:rsid w:val="00C4457B"/>
    <w:rsid w:val="00C53305"/>
    <w:rsid w:val="00C85352"/>
    <w:rsid w:val="00D54EB0"/>
    <w:rsid w:val="00D71F5A"/>
    <w:rsid w:val="00D90A9D"/>
    <w:rsid w:val="00DB0AFA"/>
    <w:rsid w:val="00E01CB0"/>
    <w:rsid w:val="00E251BB"/>
    <w:rsid w:val="00E43C3D"/>
    <w:rsid w:val="00EA46AE"/>
    <w:rsid w:val="00EC0932"/>
    <w:rsid w:val="00F06DE7"/>
    <w:rsid w:val="00FC38F8"/>
    <w:rsid w:val="00FC467E"/>
    <w:rsid w:val="00FF6AC5"/>
    <w:rsid w:val="014D7F13"/>
    <w:rsid w:val="01643979"/>
    <w:rsid w:val="016A715F"/>
    <w:rsid w:val="01786AC3"/>
    <w:rsid w:val="02E8169C"/>
    <w:rsid w:val="050E02D6"/>
    <w:rsid w:val="05EA05B9"/>
    <w:rsid w:val="060B3707"/>
    <w:rsid w:val="07E013B0"/>
    <w:rsid w:val="07EB79D6"/>
    <w:rsid w:val="09183D69"/>
    <w:rsid w:val="096F0FDE"/>
    <w:rsid w:val="09956601"/>
    <w:rsid w:val="0B1B3196"/>
    <w:rsid w:val="0B952A4F"/>
    <w:rsid w:val="0BA115A6"/>
    <w:rsid w:val="0D6367E4"/>
    <w:rsid w:val="0DA83F7B"/>
    <w:rsid w:val="0E1B1F57"/>
    <w:rsid w:val="10B2234B"/>
    <w:rsid w:val="125272B2"/>
    <w:rsid w:val="150A19EE"/>
    <w:rsid w:val="17C82FF6"/>
    <w:rsid w:val="17D53728"/>
    <w:rsid w:val="1A8661FD"/>
    <w:rsid w:val="1B4B5769"/>
    <w:rsid w:val="1C627327"/>
    <w:rsid w:val="1C746666"/>
    <w:rsid w:val="1C7F7C06"/>
    <w:rsid w:val="1CAA1755"/>
    <w:rsid w:val="1DA52E88"/>
    <w:rsid w:val="1DD4729D"/>
    <w:rsid w:val="1E763393"/>
    <w:rsid w:val="1EF7767C"/>
    <w:rsid w:val="21D165EB"/>
    <w:rsid w:val="221456E5"/>
    <w:rsid w:val="228F289C"/>
    <w:rsid w:val="2436699F"/>
    <w:rsid w:val="255F79DE"/>
    <w:rsid w:val="258955DB"/>
    <w:rsid w:val="27F875DD"/>
    <w:rsid w:val="280A6EAC"/>
    <w:rsid w:val="2B4262A0"/>
    <w:rsid w:val="2BCA5D81"/>
    <w:rsid w:val="2BE222CE"/>
    <w:rsid w:val="2D0D48B7"/>
    <w:rsid w:val="30DB5145"/>
    <w:rsid w:val="31015BBD"/>
    <w:rsid w:val="34AB67C7"/>
    <w:rsid w:val="34BD7CD8"/>
    <w:rsid w:val="364F0C6A"/>
    <w:rsid w:val="39B73441"/>
    <w:rsid w:val="39E40528"/>
    <w:rsid w:val="3A241B6E"/>
    <w:rsid w:val="3A6401D0"/>
    <w:rsid w:val="3AFC0097"/>
    <w:rsid w:val="3B6D2C57"/>
    <w:rsid w:val="3BAC5655"/>
    <w:rsid w:val="3E612B01"/>
    <w:rsid w:val="3ED64D10"/>
    <w:rsid w:val="42086876"/>
    <w:rsid w:val="44AC71E3"/>
    <w:rsid w:val="451B758E"/>
    <w:rsid w:val="455005EE"/>
    <w:rsid w:val="459D00E8"/>
    <w:rsid w:val="471C2BCC"/>
    <w:rsid w:val="49B145AF"/>
    <w:rsid w:val="4BAD5EB0"/>
    <w:rsid w:val="4C1B63B0"/>
    <w:rsid w:val="4D0C0565"/>
    <w:rsid w:val="4ECC72E7"/>
    <w:rsid w:val="50144DC7"/>
    <w:rsid w:val="511D4FF2"/>
    <w:rsid w:val="53185739"/>
    <w:rsid w:val="55A47791"/>
    <w:rsid w:val="564A60D4"/>
    <w:rsid w:val="56F627E3"/>
    <w:rsid w:val="597C2B0C"/>
    <w:rsid w:val="59B91A13"/>
    <w:rsid w:val="5A530EC3"/>
    <w:rsid w:val="5CF4716A"/>
    <w:rsid w:val="5D1B22F7"/>
    <w:rsid w:val="5E597DE3"/>
    <w:rsid w:val="605008A0"/>
    <w:rsid w:val="61A902A4"/>
    <w:rsid w:val="63E8646F"/>
    <w:rsid w:val="6420077F"/>
    <w:rsid w:val="65351167"/>
    <w:rsid w:val="661B0B67"/>
    <w:rsid w:val="6AEA1C62"/>
    <w:rsid w:val="6CA82870"/>
    <w:rsid w:val="6D301E87"/>
    <w:rsid w:val="6E7444AF"/>
    <w:rsid w:val="6F6E2C29"/>
    <w:rsid w:val="6FC053B2"/>
    <w:rsid w:val="6FFC6A05"/>
    <w:rsid w:val="701E7300"/>
    <w:rsid w:val="71BF75E5"/>
    <w:rsid w:val="738E2FE7"/>
    <w:rsid w:val="740C1D6B"/>
    <w:rsid w:val="75CE0ED3"/>
    <w:rsid w:val="763225F6"/>
    <w:rsid w:val="7662273F"/>
    <w:rsid w:val="778B1DFE"/>
    <w:rsid w:val="7A5E26DC"/>
    <w:rsid w:val="7B454E1B"/>
    <w:rsid w:val="7C100E4F"/>
    <w:rsid w:val="7C967274"/>
    <w:rsid w:val="7FDD2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4661</Words>
  <Characters>303</Characters>
  <Lines>2</Lines>
  <Paragraphs>9</Paragraphs>
  <TotalTime>0</TotalTime>
  <ScaleCrop>false</ScaleCrop>
  <LinksUpToDate>false</LinksUpToDate>
  <CharactersWithSpaces>4955</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2019-11-15T09:20:07Z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