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-238125</wp:posOffset>
            </wp:positionH>
            <wp:positionV relativeFrom="paragraph">
              <wp:posOffset>-236220</wp:posOffset>
            </wp:positionV>
            <wp:extent cx="7583170" cy="10720070"/>
            <wp:effectExtent l="0" t="0" r="17780" b="5080"/>
            <wp:wrapNone/>
            <wp:docPr id="4" name="图片 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6"/>
                    <pic:cNvPicPr>
                      <a:picLocks noChangeAspect="1"/>
                    </pic:cNvPicPr>
                  </pic:nvPicPr>
                  <pic:blipFill>
                    <a:blip r:embed="rId6"/>
                    <a:stretch>
                      <a:fillRect/>
                    </a:stretch>
                  </pic:blipFill>
                  <pic:spPr>
                    <a:xfrm>
                      <a:off x="0" y="0"/>
                      <a:ext cx="7583170" cy="10720070"/>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9675" cy="10691495"/>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p>
      <w:r>
        <w:drawing>
          <wp:anchor distT="0" distB="0" distL="114300" distR="114300" simplePos="0" relativeHeight="251668480" behindDoc="0" locked="0" layoutInCell="1" allowOverlap="1">
            <wp:simplePos x="0" y="0"/>
            <wp:positionH relativeFrom="column">
              <wp:posOffset>-215900</wp:posOffset>
            </wp:positionH>
            <wp:positionV relativeFrom="paragraph">
              <wp:posOffset>-214630</wp:posOffset>
            </wp:positionV>
            <wp:extent cx="7568565" cy="10701020"/>
            <wp:effectExtent l="0" t="0" r="0"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701020"/>
                    </a:xfrm>
                    <a:prstGeom prst="rect">
                      <a:avLst/>
                    </a:prstGeom>
                  </pic:spPr>
                </pic:pic>
              </a:graphicData>
            </a:graphic>
          </wp:anchor>
        </w:drawing>
      </w:r>
      <w:r>
        <w:br w:type="page"/>
      </w:r>
    </w:p>
    <w:p>
      <w:r>
        <w:drawing>
          <wp:anchor distT="0" distB="0" distL="114300" distR="114300" simplePos="0" relativeHeight="251669504" behindDoc="0" locked="0" layoutInCell="1" allowOverlap="1">
            <wp:simplePos x="0" y="0"/>
            <wp:positionH relativeFrom="column">
              <wp:posOffset>-215900</wp:posOffset>
            </wp:positionH>
            <wp:positionV relativeFrom="paragraph">
              <wp:posOffset>-215900</wp:posOffset>
            </wp:positionV>
            <wp:extent cx="7581265" cy="10715625"/>
            <wp:effectExtent l="0" t="0" r="635"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265" cy="10715625"/>
                    </a:xfrm>
                    <a:prstGeom prst="rect">
                      <a:avLst/>
                    </a:prstGeom>
                  </pic:spPr>
                </pic:pic>
              </a:graphicData>
            </a:graphic>
          </wp:anchor>
        </w:drawing>
      </w:r>
      <w:r>
        <w:br w:type="page"/>
      </w:r>
    </w:p>
    <w:tbl>
      <w:tblPr>
        <w:tblStyle w:val="6"/>
        <w:tblW w:w="11225" w:type="dxa"/>
        <w:jc w:val="center"/>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
      <w:tblGrid>
        <w:gridCol w:w="1864"/>
        <w:gridCol w:w="6480"/>
        <w:gridCol w:w="7"/>
        <w:gridCol w:w="300"/>
        <w:gridCol w:w="2574"/>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jc w:val="center"/>
        </w:trPr>
        <w:tc>
          <w:tcPr>
            <w:tcW w:w="11225" w:type="dxa"/>
            <w:gridSpan w:val="5"/>
            <w:tcBorders>
              <w:tl2br w:val="nil"/>
              <w:tr2bl w:val="nil"/>
            </w:tcBorders>
            <w:shd w:val="clear" w:color="auto" w:fill="E60044"/>
          </w:tcPr>
          <w:p>
            <w:pPr>
              <w:tabs>
                <w:tab w:val="left" w:pos="3682"/>
                <w:tab w:val="center" w:pos="5555"/>
              </w:tabs>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default" w:ascii="微软雅黑" w:hAnsi="微软雅黑" w:eastAsia="微软雅黑"/>
                <w:b/>
                <w:iCs/>
                <w:color w:val="FFFFFF" w:themeColor="background1"/>
                <w:sz w:val="36"/>
                <w:lang w:val="en-US"/>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lang w:val="en-US" w:eastAsia="zh-CN"/>
                <w14:textFill>
                  <w14:solidFill>
                    <w14:schemeClr w14:val="bg1"/>
                  </w14:solidFill>
                </w14:textFill>
              </w:rPr>
              <w:t>蜈支洲VIP</w:t>
            </w:r>
            <w:bookmarkStart w:id="0" w:name="_GoBack"/>
            <w:bookmarkEnd w:id="0"/>
            <w:r>
              <w:rPr>
                <w:rFonts w:hint="eastAsia" w:ascii="微软雅黑" w:hAnsi="微软雅黑" w:eastAsia="微软雅黑"/>
                <w:b/>
                <w:iCs/>
                <w:color w:val="FFFFFF" w:themeColor="background1"/>
                <w:sz w:val="36"/>
                <w14:textFill>
                  <w14:solidFill>
                    <w14:schemeClr w14:val="bg1"/>
                  </w14:solidFill>
                </w14:textFill>
              </w:rPr>
              <w:t>·海南游</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446" w:hRule="atLeast"/>
          <w:jc w:val="center"/>
        </w:trPr>
        <w:tc>
          <w:tcPr>
            <w:tcW w:w="8351" w:type="dxa"/>
            <w:gridSpan w:val="3"/>
            <w:tcBorders>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l2br w:val="nil"/>
              <w:tr2bl w:val="nil"/>
            </w:tcBorders>
            <w:shd w:val="clear" w:color="auto" w:fill="auto"/>
            <w:vAlign w:val="center"/>
          </w:tcPr>
          <w:p>
            <w:pPr>
              <w:jc w:val="left"/>
              <w:rPr>
                <w:rFonts w:ascii="宋体" w:hAnsi="宋体"/>
                <w:b/>
                <w:color w:val="C00000"/>
                <w:sz w:val="28"/>
                <w:szCs w:val="28"/>
              </w:rPr>
            </w:pPr>
          </w:p>
        </w:tc>
        <w:tc>
          <w:tcPr>
            <w:tcW w:w="2574" w:type="dxa"/>
            <w:tcBorders>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246" w:hRule="atLeast"/>
          <w:jc w:val="center"/>
        </w:trPr>
        <w:tc>
          <w:tcPr>
            <w:tcW w:w="1864" w:type="dxa"/>
            <w:tcBorders>
              <w:tl2br w:val="nil"/>
              <w:tr2bl w:val="nil"/>
            </w:tcBorders>
            <w:shd w:val="clear" w:color="auto" w:fill="D7D7D7" w:themeFill="background1" w:themeFillShade="D8"/>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l2br w:val="nil"/>
              <w:tr2bl w:val="nil"/>
            </w:tcBorders>
            <w:shd w:val="clear" w:color="auto" w:fill="D7D7D7" w:themeFill="background1" w:themeFillShade="D8"/>
            <w:vAlign w:val="center"/>
          </w:tcPr>
          <w:p>
            <w:pPr>
              <w:jc w:val="center"/>
              <w:rPr>
                <w:rFonts w:ascii="宋体" w:hAnsi="宋体" w:eastAsia="宋体"/>
                <w:b/>
                <w:bCs/>
                <w:color w:val="E60044"/>
                <w:szCs w:val="21"/>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l2br w:val="nil"/>
              <w:tr2bl w:val="nil"/>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l2br w:val="nil"/>
              <w:tr2bl w:val="nil"/>
            </w:tcBorders>
            <w:shd w:val="clear" w:color="auto" w:fill="auto"/>
          </w:tcPr>
          <w:p>
            <w:pPr>
              <w:spacing w:line="280" w:lineRule="exact"/>
              <w:rPr>
                <w:rFonts w:ascii="Arial" w:hAnsi="Arial" w:cs="Arial"/>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居雨林住海边：</w:t>
            </w:r>
          </w:p>
          <w:p>
            <w:pPr>
              <w:spacing w:after="156" w:afterLines="50" w:line="280" w:lineRule="exact"/>
              <w:rPr>
                <w:rFonts w:ascii="Arial" w:hAnsi="Arial" w:cs="Arial"/>
                <w:sz w:val="18"/>
                <w:szCs w:val="18"/>
              </w:rPr>
            </w:pPr>
            <w:r>
              <w:rPr>
                <w:rFonts w:hint="eastAsia" w:ascii="Arial" w:hAnsi="Arial" w:cs="Arial"/>
                <w:sz w:val="18"/>
                <w:szCs w:val="18"/>
              </w:rPr>
              <w:t>全程指定住宿酒店，升级安排：1晚雅布伦雨林山庄（联排别墅），</w:t>
            </w:r>
            <w:r>
              <w:rPr>
                <w:rFonts w:hint="eastAsia" w:ascii="Arial" w:hAnsi="Arial" w:cs="Arial"/>
                <w:color w:val="FF0000"/>
                <w:sz w:val="18"/>
                <w:szCs w:val="18"/>
              </w:rPr>
              <w:t>1晚一线海边五星标准酒店</w:t>
            </w:r>
            <w:r>
              <w:rPr>
                <w:rFonts w:hint="eastAsia" w:ascii="Arial" w:hAnsi="Arial" w:cs="Arial"/>
                <w:sz w:val="18"/>
                <w:szCs w:val="18"/>
              </w:rPr>
              <w:t>，尽享旖旎热带田园和雨林风光与触手可及的大海。</w:t>
            </w:r>
          </w:p>
          <w:p>
            <w:pPr>
              <w:spacing w:after="156" w:afterLines="50" w:line="280" w:lineRule="exact"/>
              <w:rPr>
                <w:rFonts w:ascii="Arial" w:hAnsi="Arial" w:cs="Arial"/>
                <w:sz w:val="18"/>
                <w:szCs w:val="18"/>
              </w:rPr>
            </w:pPr>
          </w:p>
          <w:p>
            <w:pPr>
              <w:spacing w:line="280" w:lineRule="exact"/>
              <w:rPr>
                <w:rFonts w:ascii="Arial" w:hAnsi="Arial" w:cs="Arial"/>
                <w:b/>
                <w:bCs/>
                <w:color w:val="E60044"/>
                <w:szCs w:val="21"/>
              </w:rPr>
            </w:pPr>
            <w:r>
              <w:rPr>
                <w:rFonts w:hint="eastAsia" w:ascii="Arial" w:hAnsi="Arial" w:cs="Arial"/>
                <w:b/>
                <w:bCs/>
                <w:color w:val="E60044"/>
                <w:szCs w:val="21"/>
              </w:rPr>
              <w:t>海南美食：</w:t>
            </w:r>
          </w:p>
          <w:p>
            <w:pPr>
              <w:spacing w:after="156" w:afterLines="50" w:line="280" w:lineRule="exact"/>
              <w:rPr>
                <w:rFonts w:ascii="Arial" w:hAnsi="Arial" w:cs="Arial"/>
                <w:sz w:val="18"/>
                <w:szCs w:val="18"/>
              </w:rPr>
            </w:pPr>
            <w:r>
              <w:rPr>
                <w:rFonts w:hint="eastAsia" w:ascii="Arial" w:hAnsi="Arial" w:cs="Arial"/>
                <w:sz w:val="18"/>
                <w:szCs w:val="18"/>
              </w:rPr>
              <w:t>特别精选2大特色餐：黎家土菜特色餐、虾兵蟹将海鲜风味餐。</w:t>
            </w:r>
          </w:p>
          <w:p>
            <w:pPr>
              <w:spacing w:after="156" w:afterLines="50" w:line="280" w:lineRule="exact"/>
              <w:rPr>
                <w:rFonts w:ascii="Arial" w:hAnsi="Arial" w:cs="Arial"/>
                <w:sz w:val="18"/>
                <w:szCs w:val="18"/>
              </w:rPr>
            </w:pPr>
          </w:p>
          <w:p>
            <w:pPr>
              <w:spacing w:line="280" w:lineRule="exact"/>
              <w:rPr>
                <w:rFonts w:ascii="Arial" w:hAnsi="Arial" w:cs="Arial"/>
                <w:b/>
                <w:bCs/>
                <w:color w:val="E60044"/>
                <w:szCs w:val="21"/>
              </w:rPr>
            </w:pPr>
            <w:r>
              <w:rPr>
                <w:rFonts w:hint="eastAsia" w:ascii="Arial" w:hAnsi="Arial" w:cs="Arial"/>
                <w:b/>
                <w:bCs/>
                <w:color w:val="E60044"/>
                <w:szCs w:val="21"/>
              </w:rPr>
              <w:t>双岛玩法：</w:t>
            </w:r>
          </w:p>
          <w:p>
            <w:pPr>
              <w:spacing w:after="156" w:afterLines="50" w:line="280" w:lineRule="exact"/>
              <w:rPr>
                <w:rFonts w:ascii="Arial" w:hAnsi="Arial" w:cs="Arial"/>
                <w:sz w:val="18"/>
                <w:szCs w:val="18"/>
              </w:rPr>
            </w:pPr>
            <w:r>
              <w:rPr>
                <w:rFonts w:hint="eastAsia" w:ascii="Arial" w:hAnsi="Arial" w:cs="Arial"/>
                <w:sz w:val="18"/>
                <w:szCs w:val="18"/>
              </w:rPr>
              <w:t>畅玩双岛，5A海岛蜈支洲岛、4A西岛、5A雨林呀诺达，4A天涯海角等，HOT千古情（不含演出），赠海边篝火晚会。</w:t>
            </w:r>
          </w:p>
          <w:p>
            <w:pPr>
              <w:spacing w:after="156" w:afterLines="50" w:line="280" w:lineRule="exact"/>
              <w:rPr>
                <w:rFonts w:ascii="Arial" w:hAnsi="Arial" w:cs="Arial"/>
                <w:sz w:val="18"/>
                <w:szCs w:val="18"/>
              </w:rPr>
            </w:pPr>
          </w:p>
          <w:p>
            <w:pPr>
              <w:spacing w:line="280" w:lineRule="exact"/>
              <w:rPr>
                <w:rFonts w:ascii="宋体" w:hAnsi="宋体"/>
                <w:b/>
                <w:bCs/>
                <w:iCs/>
                <w:color w:val="E60044"/>
                <w:szCs w:val="21"/>
              </w:rPr>
            </w:pPr>
            <w:r>
              <w:rPr>
                <w:rFonts w:hint="eastAsia" w:ascii="宋体" w:hAnsi="宋体"/>
                <w:b/>
                <w:bCs/>
                <w:iCs/>
                <w:color w:val="E60044"/>
                <w:szCs w:val="21"/>
              </w:rPr>
              <w:t>VIP保障：</w:t>
            </w:r>
          </w:p>
          <w:p>
            <w:pPr>
              <w:spacing w:after="156" w:afterLines="50" w:line="280" w:lineRule="exact"/>
              <w:rPr>
                <w:rFonts w:ascii="宋体" w:hAnsi="宋体"/>
                <w:color w:val="C00000"/>
                <w:sz w:val="18"/>
                <w:szCs w:val="18"/>
              </w:rPr>
            </w:pPr>
            <w:r>
              <w:rPr>
                <w:rFonts w:hint="eastAsia" w:ascii="Arial" w:hAnsi="Arial" w:cs="Arial"/>
                <w:sz w:val="18"/>
                <w:szCs w:val="18"/>
              </w:rPr>
              <w:t>0自费，全程不增加任何自费景点和购物店，违约赔付2000元/人（不含潜水等海上项目和千古情演绎）。</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1352" w:hRule="atLeast"/>
          <w:jc w:val="center"/>
        </w:trPr>
        <w:tc>
          <w:tcPr>
            <w:tcW w:w="1864" w:type="dxa"/>
            <w:tcBorders>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bottom w:val="single" w:color="D7D7D7" w:themeColor="background1" w:themeShade="D8" w:sz="4" w:space="0"/>
            </w:tcBorders>
            <w:shd w:val="clear" w:color="auto" w:fill="auto"/>
          </w:tcPr>
          <w:p>
            <w:pPr>
              <w:spacing w:before="62" w:after="62" w:afterLines="20"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after="62" w:afterLines="20"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pacing w:val="-2"/>
                <w:sz w:val="18"/>
                <w:szCs w:val="18"/>
              </w:rPr>
              <w:t>指定酒店</w:t>
            </w:r>
          </w:p>
          <w:p>
            <w:pPr>
              <w:spacing w:before="62" w:after="62" w:afterLines="20"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tcPr>
          <w:p>
            <w:pPr>
              <w:spacing w:after="156" w:afterLines="50" w:line="280" w:lineRule="exac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2048"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80" w:type="dxa"/>
            <w:tcBorders>
              <w:top w:val="single" w:color="D7D7D7" w:themeColor="background1" w:themeShade="D8" w:sz="4" w:space="0"/>
              <w:bottom w:val="single" w:color="D7D7D7" w:themeColor="background1" w:themeShade="D8" w:sz="4" w:space="0"/>
            </w:tcBorders>
            <w:shd w:val="clear" w:color="auto" w:fill="auto"/>
            <w:vAlign w:val="center"/>
          </w:tcPr>
          <w:p>
            <w:pPr>
              <w:spacing w:before="31" w:beforeLines="10" w:after="31" w:afterLines="10"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蜈支洲岛—海边篝火晚会</w:t>
            </w:r>
          </w:p>
          <w:p>
            <w:pPr>
              <w:pStyle w:val="5"/>
              <w:spacing w:before="31" w:beforeLines="10" w:beforeAutospacing="0" w:after="31" w:afterLines="1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（赠）海边篝火晚会：</w:t>
            </w:r>
            <w:r>
              <w:rPr>
                <w:rFonts w:hint="eastAsia"/>
                <w:color w:val="262626" w:themeColor="text1" w:themeTint="D9"/>
                <w:sz w:val="18"/>
                <w:szCs w:val="18"/>
                <w14:textFill>
                  <w14:solidFill>
                    <w14:schemeClr w14:val="tx1">
                      <w14:lumMod w14:val="85000"/>
                      <w14:lumOff w14:val="15000"/>
                    </w14:schemeClr>
                  </w14:solidFill>
                </w14:textFill>
              </w:rPr>
              <w:t>在沙滩上手牵手激情舞蹈，进行精彩趣味的互动环节，感受海岛夜幕下的火光盛筵。</w:t>
            </w:r>
          </w:p>
          <w:p>
            <w:pPr>
              <w:spacing w:before="31" w:beforeLines="10" w:after="31" w:afterLines="10"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pacing w:val="-2"/>
                <w:sz w:val="18"/>
                <w:szCs w:val="18"/>
              </w:rPr>
              <w:t>指定酒店</w:t>
            </w:r>
          </w:p>
          <w:p>
            <w:pPr>
              <w:spacing w:before="31" w:beforeLines="10" w:after="31" w:afterLines="10" w:line="250" w:lineRule="exact"/>
              <w:rPr>
                <w:b/>
                <w:b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w:t>
            </w:r>
            <w:r>
              <w:rPr>
                <w:rFonts w:hint="eastAsia" w:ascii="Arial" w:hAnsi="Arial" w:cs="Arial"/>
                <w:sz w:val="18"/>
                <w:szCs w:val="18"/>
              </w:rPr>
              <w:t>黎家土菜特色餐</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vAlign w:val="center"/>
          </w:tcPr>
          <w:p>
            <w:pPr>
              <w:spacing w:line="200" w:lineRule="atLeas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3177"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保亭</w:t>
            </w:r>
          </w:p>
        </w:tc>
        <w:tc>
          <w:tcPr>
            <w:tcW w:w="6480" w:type="dxa"/>
            <w:tcBorders>
              <w:top w:val="single" w:color="D7D7D7" w:themeColor="background1" w:themeShade="D8" w:sz="4" w:space="0"/>
              <w:bottom w:val="single" w:color="D7D7D7" w:themeColor="background1" w:themeShade="D8"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呀诺达—三亚千古情—西岛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【呀诺达】：</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color w:val="262626" w:themeColor="text1" w:themeTint="D9"/>
                <w:sz w:val="18"/>
                <w:szCs w:val="18"/>
                <w:lang w:val="zh-TW"/>
                <w14:textFill>
                  <w14:solidFill>
                    <w14:schemeClr w14:val="tx1">
                      <w14:lumMod w14:val="85000"/>
                      <w14:lumOff w14:val="15000"/>
                    </w14:schemeClr>
                  </w14:solidFill>
                </w14:textFill>
              </w:rPr>
              <w:t>地处北纬18度，是名符其实的热带雨林，是海南岛五大热带雨林精品的浓缩堪称中国钻石级雨林景区。热带雨林谷遮天蔽日，流泉叠瀑倾泻而下，年平均温度24度，踱步雨林中，你能感受阵阵清新凉意。在这里，你能卸下最繁杂的纷扰，穿越雨林栈道，呼吸最清新的空气，畅享休闲的快乐时光。</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（游览时间不少于120分钟，不含演出）这里有历史复苏的各种盛筵、精彩的民俗演出、有趣的现场互动、仿佛静止千年的黎村苗寨。今日午餐不含，可在景区小吃城边逛边吃，自由选择，丰俭由己。</w:t>
            </w:r>
          </w:p>
          <w:p>
            <w:pPr>
              <w:pStyle w:val="5"/>
              <w:spacing w:before="0" w:beforeAutospacing="0" w:after="0" w:afterAutospacing="0"/>
              <w:rPr>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【西岛】：</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（游览时间不少于120分钟，不含潜水等水上项目）被誉为“海上桃园，动感天堂”的海岛景区，国家级珊瑚礁保护基地，透过清澈的海水，绮丽的热带鱼在珊瑚礁石中穿梭。平静的海面，是各类海水运动的天堂。</w:t>
            </w:r>
          </w:p>
          <w:p>
            <w:pPr>
              <w:pStyle w:val="5"/>
              <w:spacing w:before="0" w:beforeAutospacing="0" w:after="0" w:afterAutospacing="0"/>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晚餐享用虾兵蟹将海鲜餐，丰盛品种，鲜活美味，海岛旅行不可错过的美食。</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pacing w:val="-2"/>
                <w:sz w:val="18"/>
                <w:szCs w:val="18"/>
              </w:rPr>
              <w:t>指定酒店</w:t>
            </w:r>
          </w:p>
          <w:p>
            <w:pPr>
              <w:rPr>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晚餐：虾兵蟹将海鲜餐</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vAlign w:val="center"/>
          </w:tcPr>
          <w:p>
            <w:pPr>
              <w:spacing w:line="200" w:lineRule="atLeas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3023"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海口</w:t>
            </w:r>
          </w:p>
        </w:tc>
        <w:tc>
          <w:tcPr>
            <w:tcW w:w="6480" w:type="dxa"/>
            <w:tcBorders>
              <w:top w:val="single" w:color="D7D7D7" w:themeColor="background1" w:themeShade="D8" w:sz="4" w:space="0"/>
              <w:bottom w:val="single" w:color="D7D7D7" w:themeColor="background1" w:themeShade="D8" w:sz="4" w:space="0"/>
            </w:tcBorders>
            <w:shd w:val="clear" w:color="auto" w:fill="auto"/>
            <w:vAlign w:val="center"/>
          </w:tcPr>
          <w:p>
            <w:pPr>
              <w:spacing w:before="31" w:beforeLines="10" w:after="31" w:afterLines="10"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美丽商城—天涯海角—热带农业示范基地</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before="31" w:beforeLines="10" w:after="31" w:afterLines="10" w:line="25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31" w:beforeLines="10" w:after="31" w:afterLines="10"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spacing w:before="31" w:beforeLines="10" w:after="31" w:afterLines="10"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pacing w:val="-2"/>
                <w:sz w:val="18"/>
                <w:szCs w:val="18"/>
              </w:rPr>
              <w:t>指定酒店</w:t>
            </w:r>
          </w:p>
          <w:p>
            <w:pPr>
              <w:spacing w:before="31" w:beforeLines="10" w:after="31" w:afterLines="10" w:line="250" w:lineRule="exact"/>
              <w:rPr>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vAlign w:val="center"/>
          </w:tcPr>
          <w:p>
            <w:pPr>
              <w:spacing w:line="200" w:lineRule="atLeas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Ex>
        <w:trPr>
          <w:trHeight w:val="625" w:hRule="atLeast"/>
          <w:jc w:val="center"/>
        </w:trPr>
        <w:tc>
          <w:tcPr>
            <w:tcW w:w="1864" w:type="dxa"/>
            <w:tcBorders>
              <w:top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D7D7D7" w:themeColor="background1" w:themeShade="D8" w:sz="4" w:space="0"/>
            </w:tcBorders>
            <w:shd w:val="clear" w:color="auto" w:fill="auto"/>
          </w:tcPr>
          <w:p>
            <w:pPr>
              <w:spacing w:before="62" w:after="62" w:afterLines="20" w:line="320" w:lineRule="exact"/>
              <w:rPr>
                <w:sz w:val="18"/>
                <w:szCs w:val="18"/>
                <w:lang w:val="zh-TW"/>
              </w:rPr>
            </w:pPr>
            <w:r>
              <w:rPr>
                <w:rFonts w:hint="eastAsia"/>
                <w:sz w:val="18"/>
                <w:szCs w:val="18"/>
                <w:lang w:val="zh-TW"/>
              </w:rPr>
              <w:t>专人送机，乘机返回温馨家园（酒店退房时间为中午12点前）。</w:t>
            </w:r>
          </w:p>
          <w:p>
            <w:pPr>
              <w:spacing w:before="62" w:after="62" w:afterLines="20" w:line="32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62" w:after="62" w:afterLines="20" w:line="320" w:lineRule="exact"/>
              <w:rPr>
                <w:sz w:val="18"/>
                <w:szCs w:val="18"/>
                <w:lang w:val="zh-TW"/>
              </w:rPr>
            </w:pPr>
          </w:p>
          <w:p>
            <w:pPr>
              <w:spacing w:before="62" w:after="62" w:afterLines="20" w:line="32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l2br w:val="nil"/>
              <w:tr2bl w:val="nil"/>
            </w:tcBorders>
            <w:shd w:val="clear" w:color="auto" w:fill="auto"/>
            <w:vAlign w:val="center"/>
          </w:tcPr>
          <w:p>
            <w:pPr>
              <w:spacing w:line="200" w:lineRule="atLeast"/>
              <w:rPr>
                <w:color w:val="C00000"/>
                <w:sz w:val="18"/>
                <w:szCs w:val="18"/>
                <w:lang w:val="zh-TW"/>
              </w:rPr>
            </w:pPr>
          </w:p>
        </w:tc>
        <w:tc>
          <w:tcPr>
            <w:tcW w:w="2574" w:type="dxa"/>
            <w:vMerge w:val="continue"/>
            <w:tcBorders>
              <w:tl2br w:val="nil"/>
              <w:tr2bl w:val="nil"/>
            </w:tcBorders>
            <w:shd w:val="clear" w:color="auto" w:fill="auto"/>
            <w:vAlign w:val="center"/>
          </w:tcPr>
          <w:p>
            <w:pPr>
              <w:spacing w:line="200" w:lineRule="atLeast"/>
              <w:rPr>
                <w:color w:val="C00000"/>
                <w:sz w:val="18"/>
                <w:szCs w:val="18"/>
                <w:lang w:val="zh-TW"/>
              </w:rPr>
            </w:pPr>
          </w:p>
        </w:tc>
      </w:tr>
    </w:tbl>
    <w:p/>
    <w:tbl>
      <w:tblPr>
        <w:tblStyle w:val="6"/>
        <w:tblW w:w="11225" w:type="dxa"/>
        <w:jc w:val="center"/>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446" w:hRule="atLeast"/>
          <w:jc w:val="center"/>
        </w:trPr>
        <w:tc>
          <w:tcPr>
            <w:tcW w:w="11225" w:type="dxa"/>
            <w:gridSpan w:val="3"/>
            <w:tcBorders>
              <w:top w:val="single" w:color="FFFFFF" w:themeColor="background1" w:sz="4" w:space="0"/>
              <w:left w:val="single" w:color="FFFFFF" w:themeColor="background1" w:sz="4" w:space="0"/>
              <w:bottom w:val="single" w:color="E60044" w:sz="4" w:space="0"/>
              <w:right w:val="single" w:color="FFFFFF" w:themeColor="background1"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539" w:hRule="atLeast"/>
          <w:jc w:val="center"/>
        </w:trPr>
        <w:tc>
          <w:tcPr>
            <w:tcW w:w="11225" w:type="dxa"/>
            <w:gridSpan w:val="3"/>
            <w:tcBorders>
              <w:top w:val="single" w:color="E60044" w:sz="4" w:space="0"/>
              <w:left w:val="single" w:color="FFFFFF" w:sz="4" w:space="0"/>
              <w:bottom w:val="single" w:color="FFFFFF" w:themeColor="background1"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b/>
                <w:bCs/>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全程指定住宿酒店，升级安排：1晚雅布伦雨林山庄（联排别墅），</w:t>
            </w:r>
            <w:r>
              <w:rPr>
                <w:rFonts w:hint="eastAsia" w:ascii="Arial" w:hAnsi="Arial" w:cs="Arial"/>
                <w:sz w:val="18"/>
                <w:szCs w:val="18"/>
              </w:rPr>
              <w:t>1晚一线海边五星标准酒店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含4正4早（不用不退费），早餐：酒店内早餐，正餐餐标：25元/人/餐，特别精选2大特色餐：</w:t>
            </w:r>
            <w:r>
              <w:rPr>
                <w:rFonts w:hint="eastAsia" w:ascii="Arial" w:hAnsi="Arial" w:cs="Arial"/>
                <w:sz w:val="18"/>
                <w:szCs w:val="18"/>
              </w:rPr>
              <w:t>黎家土菜特色餐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、虾兵蟹将海鲜风味餐（赠送项目），根据当天景点游览顺序和游览时间，如不能安排自助餐，将安排等价餐标的围桌餐；</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海南旅行社责任险（最高保额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0万元/人）；</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持有导游资格证书的专业导游全程优质服务；8人以下导游兼司机；</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3"/>
            <w:tcBorders>
              <w:top w:val="single" w:color="FFFFFF" w:themeColor="background1" w:sz="4" w:space="0"/>
              <w:left w:val="single" w:color="FFFFFF" w:themeColor="background1" w:sz="4" w:space="0"/>
              <w:bottom w:val="single" w:color="E60044" w:sz="4" w:space="0"/>
              <w:right w:val="single" w:color="FFFFFF" w:themeColor="background1"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305"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color w:val="262626" w:themeColor="text1" w:themeTint="D9"/>
                <w:sz w:val="18"/>
                <w:szCs w:val="18"/>
                <w14:textFill>
                  <w14:solidFill>
                    <w14:schemeClr w14:val="tx1">
                      <w14:lumMod w14:val="85000"/>
                      <w14:lumOff w14:val="15000"/>
                    </w14:schemeClr>
                  </w14:solidFill>
                </w14:textFill>
              </w:rPr>
            </w:pPr>
            <w:r>
              <w:rPr>
                <w:rFonts w:hint="eastAsia"/>
                <w:spacing w:val="-2"/>
                <w:sz w:val="18"/>
                <w:szCs w:val="18"/>
              </w:rPr>
              <w:t>云悦假日、丽华、佳捷、华侨大厦、腾鹏、锦江之星、江湾、海尚丝寓、宝华</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香水湾·指定酒店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spacing w:val="-2"/>
                <w:sz w:val="18"/>
                <w:szCs w:val="18"/>
              </w:rPr>
            </w:pPr>
            <w:r>
              <w:rPr>
                <w:rFonts w:hint="eastAsia"/>
                <w:spacing w:val="-2"/>
                <w:sz w:val="18"/>
                <w:szCs w:val="18"/>
              </w:rPr>
              <w:t>阿尔卡迪亚、香水湾万豪</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pacing w:val="-2"/>
                <w:sz w:val="18"/>
                <w:szCs w:val="18"/>
              </w:rPr>
              <w:t>雅布伦雨林山庄、三亚雅布伦山庄、碧海金沙</w:t>
            </w:r>
          </w:p>
        </w:tc>
      </w:tr>
      <w:tr>
        <w:tblPrEx>
          <w:tblLayout w:type="fixed"/>
          <w:tblCellMar>
            <w:top w:w="113" w:type="dxa"/>
            <w:left w:w="57" w:type="dxa"/>
            <w:bottom w:w="113" w:type="dxa"/>
            <w:right w:w="57" w:type="dxa"/>
          </w:tblCellMar>
        </w:tblPrEx>
        <w:trPr>
          <w:trHeight w:val="580"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鲁迅交流中心、雅布伦、禅意酒店、柏栎、华宝石、珍珠主题、容锦海悦、海虹、顺龙</w:t>
            </w: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、君锦滨海</w:t>
            </w:r>
          </w:p>
        </w:tc>
      </w:tr>
      <w:tr>
        <w:tblPrEx>
          <w:tblLayout w:type="fixed"/>
          <w:tblCellMar>
            <w:top w:w="113" w:type="dxa"/>
            <w:left w:w="57" w:type="dxa"/>
            <w:bottom w:w="113" w:type="dxa"/>
            <w:right w:w="57" w:type="dxa"/>
          </w:tblCellMar>
        </w:tblPrEx>
        <w:trPr>
          <w:trHeight w:val="1470" w:hRule="atLeast"/>
          <w:jc w:val="center"/>
        </w:trPr>
        <w:tc>
          <w:tcPr>
            <w:tcW w:w="11225" w:type="dxa"/>
            <w:gridSpan w:val="3"/>
            <w:tcBorders>
              <w:top w:val="single" w:color="FFFFFF" w:sz="4" w:space="0"/>
              <w:left w:val="single" w:color="FFFFFF" w:sz="4" w:space="0"/>
              <w:bottom w:val="single" w:color="FFFFFF" w:themeColor="background1" w:sz="4" w:space="0"/>
              <w:right w:val="single" w:color="FFFFFF" w:sz="4" w:space="0"/>
              <w:tl2br w:val="nil"/>
              <w:tr2bl w:val="nil"/>
            </w:tcBorders>
            <w:shd w:val="clear" w:color="auto" w:fill="auto"/>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注：海南酒店多为旅游度假酒店，标准较内地偏低。如因酒店满房、被征用、区域停水停电等原因不能正常接待，将安排不低于以上酒店档次的酒店。</w:t>
            </w:r>
          </w:p>
        </w:tc>
      </w:tr>
      <w:tr>
        <w:tblPrEx>
          <w:tblLayout w:type="fixed"/>
          <w:tblCellMar>
            <w:top w:w="113" w:type="dxa"/>
            <w:left w:w="57" w:type="dxa"/>
            <w:bottom w:w="113" w:type="dxa"/>
            <w:right w:w="57" w:type="dxa"/>
          </w:tblCellMar>
        </w:tblPrEx>
        <w:trPr>
          <w:trHeight w:val="420" w:hRule="atLeast"/>
          <w:jc w:val="center"/>
        </w:trPr>
        <w:tc>
          <w:tcPr>
            <w:tcW w:w="11225" w:type="dxa"/>
            <w:gridSpan w:val="3"/>
            <w:tcBorders>
              <w:top w:val="single" w:color="FFFFFF" w:themeColor="background1" w:sz="4" w:space="0"/>
              <w:left w:val="single" w:color="FFFFFF" w:themeColor="background1" w:sz="4" w:space="0"/>
              <w:bottom w:val="single" w:color="E60044" w:sz="4" w:space="0"/>
              <w:right w:val="single" w:color="FFFFFF" w:themeColor="background1"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330"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黎家土菜特色餐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雷公根例汤、黎家果木烤土鸡、黎家白切土番鸭、黎家香炸水库鱼、黎家捞叶炒咸肉、黎家捞叶土鸡蛋、黎家水芹炒粉丝、黎家肉燥嫩豆腐、黎家蒜香山野菜、黎家特色藤发糕、黎家杂粮香米饭、黎家乡村水果盘、鱼茶（赠）、山兰酒（赠）。</w:t>
            </w:r>
          </w:p>
        </w:tc>
      </w:tr>
      <w:tr>
        <w:tblPrEx>
          <w:tblLayout w:type="fixed"/>
          <w:tblCellMar>
            <w:top w:w="113" w:type="dxa"/>
            <w:left w:w="57" w:type="dxa"/>
            <w:bottom w:w="113" w:type="dxa"/>
            <w:right w:w="57" w:type="dxa"/>
          </w:tblCellMar>
        </w:tblPrEx>
        <w:trPr>
          <w:trHeight w:val="567" w:hRule="atLeast"/>
          <w:jc w:val="center"/>
        </w:trPr>
        <w:tc>
          <w:tcPr>
            <w:tcW w:w="1188" w:type="dxa"/>
            <w:tcBorders>
              <w:top w:val="single" w:color="FFFFFF"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虾兵蟹将海鲜风味餐</w:t>
            </w:r>
          </w:p>
        </w:tc>
        <w:tc>
          <w:tcPr>
            <w:tcW w:w="10037"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海南和乐蟹（整只）、海中虾、粉丝扇贝、黎家家常菜、辣炒黑口贝、QQ墨鱼仔、蒜蓉蒸海贝、柠檬蒸鱼、米椒炒文昌鸡、蒌叶煎蛋、黎家酿茄子、清炒海南野菜；海南特色小吃：黎家竹筒饭 、海南粉；海南特色养颜美容汤：木瓜龙骨汤</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themeColor="background1" w:sz="4" w:space="0"/>
          <w:left w:val="single" w:color="FFFFFF" w:themeColor="background1" w:sz="4" w:space="0"/>
          <w:bottom w:val="single" w:color="FFFFFF" w:sz="4" w:space="0"/>
          <w:right w:val="single" w:color="FFFFFF" w:themeColor="background1" w:sz="4" w:space="0"/>
          <w:insideH w:val="single" w:color="FFFFFF" w:themeColor="background1" w:sz="4" w:space="0"/>
          <w:insideV w:val="none" w:color="auto" w:sz="0" w:space="0"/>
        </w:tblBorders>
        <w:tblLayout w:type="fixed"/>
        <w:tblCellMar>
          <w:top w:w="57" w:type="dxa"/>
          <w:left w:w="57" w:type="dxa"/>
          <w:bottom w:w="57" w:type="dxa"/>
          <w:right w:w="57" w:type="dxa"/>
        </w:tblCellMar>
      </w:tblPr>
      <w:tblGrid>
        <w:gridCol w:w="11225"/>
      </w:tblGrid>
      <w:tr>
        <w:tblPrEx>
          <w:tblBorders>
            <w:top w:val="single" w:color="FFFFFF" w:themeColor="background1" w:sz="4" w:space="0"/>
            <w:left w:val="single" w:color="FFFFFF" w:themeColor="background1" w:sz="4" w:space="0"/>
            <w:bottom w:val="single" w:color="FFFFFF" w:sz="4" w:space="0"/>
            <w:right w:val="single" w:color="FFFFFF" w:themeColor="background1" w:sz="4" w:space="0"/>
            <w:insideH w:val="single" w:color="FFFFFF" w:themeColor="background1" w:sz="4" w:space="0"/>
            <w:insideV w:val="none" w:color="auto" w:sz="0" w:space="0"/>
          </w:tblBorders>
          <w:tblLayout w:type="fixed"/>
        </w:tblPrEx>
        <w:trPr>
          <w:trHeight w:val="158" w:hRule="atLeast"/>
        </w:trPr>
        <w:tc>
          <w:tcPr>
            <w:tcW w:w="11225" w:type="dxa"/>
            <w:tcBorders>
              <w:tl2br w:val="nil"/>
              <w:tr2bl w:val="nil"/>
            </w:tcBorders>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themeColor="background1" w:sz="4" w:space="0"/>
            <w:left w:val="single" w:color="FFFFFF" w:themeColor="background1" w:sz="4" w:space="0"/>
            <w:bottom w:val="single" w:color="FFFFFF" w:sz="4" w:space="0"/>
            <w:right w:val="single" w:color="FFFFFF" w:themeColor="background1" w:sz="4" w:space="0"/>
            <w:insideH w:val="single" w:color="FFFFFF" w:themeColor="background1" w:sz="4" w:space="0"/>
            <w:insideV w:val="none" w:color="auto" w:sz="0"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sz w:val="18"/>
                <w:szCs w:val="21"/>
              </w:rPr>
            </w:pPr>
            <w:r>
              <w:rPr>
                <w:rFonts w:hint="eastAsia"/>
                <w:sz w:val="18"/>
                <w:szCs w:val="21"/>
              </w:rPr>
              <w:t>1、海南酒店标准比内地偏低，请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sz w:val="18"/>
                <w:szCs w:val="21"/>
              </w:rPr>
            </w:pPr>
            <w:r>
              <w:rPr>
                <w:rFonts w:hint="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sz w:val="18"/>
                <w:szCs w:val="21"/>
              </w:rPr>
            </w:pPr>
            <w:r>
              <w:rPr>
                <w:rFonts w:hint="eastAsia"/>
                <w:sz w:val="18"/>
                <w:szCs w:val="21"/>
              </w:rPr>
              <w:t>3、</w:t>
            </w:r>
            <w:r>
              <w:rPr>
                <w:rFonts w:hint="eastAsia" w:asciiTheme="minorEastAsia" w:hAnsiTheme="minorEastAsia" w:cstheme="minorEastAsia"/>
                <w:sz w:val="18"/>
                <w:szCs w:val="21"/>
              </w:rPr>
              <w:t>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sz w:val="18"/>
                <w:szCs w:val="21"/>
              </w:rPr>
            </w:pPr>
            <w:r>
              <w:rPr>
                <w:rFonts w:hint="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sz w:val="18"/>
                <w:szCs w:val="21"/>
              </w:rPr>
            </w:pPr>
            <w:r>
              <w:rPr>
                <w:rFonts w:hint="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sz w:val="18"/>
                <w:szCs w:val="21"/>
              </w:rPr>
            </w:pPr>
            <w:r>
              <w:rPr>
                <w:rFonts w:hint="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sz w:val="18"/>
                <w:szCs w:val="21"/>
              </w:rPr>
            </w:pPr>
            <w:r>
              <w:rPr>
                <w:rFonts w:hint="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sz w:val="18"/>
                <w:szCs w:val="21"/>
              </w:rPr>
            </w:pPr>
            <w:r>
              <w:rPr>
                <w:rFonts w:hint="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sz w:val="18"/>
                <w:szCs w:val="21"/>
              </w:rPr>
            </w:pPr>
            <w:r>
              <w:rPr>
                <w:rFonts w:hint="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sz w:val="18"/>
                <w:szCs w:val="21"/>
              </w:rPr>
            </w:pPr>
            <w:r>
              <w:rPr>
                <w:rFonts w:hint="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sz w:val="18"/>
                <w:szCs w:val="21"/>
              </w:rPr>
            </w:pPr>
            <w:r>
              <w:rPr>
                <w:rFonts w:hint="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sz w:val="18"/>
                <w:szCs w:val="21"/>
              </w:rPr>
            </w:pPr>
            <w:r>
              <w:rPr>
                <w:rFonts w:hint="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sz w:val="18"/>
                <w:szCs w:val="21"/>
              </w:rPr>
            </w:pPr>
            <w:r>
              <w:rPr>
                <w:rFonts w:hint="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6915"/>
    <w:rsid w:val="0002194E"/>
    <w:rsid w:val="000544FC"/>
    <w:rsid w:val="00087CA8"/>
    <w:rsid w:val="000A1015"/>
    <w:rsid w:val="00114B64"/>
    <w:rsid w:val="00115F09"/>
    <w:rsid w:val="001A5209"/>
    <w:rsid w:val="001C314E"/>
    <w:rsid w:val="00207DC9"/>
    <w:rsid w:val="00223E2F"/>
    <w:rsid w:val="00264CBF"/>
    <w:rsid w:val="0026653E"/>
    <w:rsid w:val="002744EC"/>
    <w:rsid w:val="00282458"/>
    <w:rsid w:val="002845A4"/>
    <w:rsid w:val="002950DF"/>
    <w:rsid w:val="0034585A"/>
    <w:rsid w:val="004178BA"/>
    <w:rsid w:val="00473CE0"/>
    <w:rsid w:val="004D6B25"/>
    <w:rsid w:val="005805A8"/>
    <w:rsid w:val="005F2437"/>
    <w:rsid w:val="00610656"/>
    <w:rsid w:val="006F29AF"/>
    <w:rsid w:val="00716CBD"/>
    <w:rsid w:val="007605D7"/>
    <w:rsid w:val="00795532"/>
    <w:rsid w:val="007B5D99"/>
    <w:rsid w:val="007C664C"/>
    <w:rsid w:val="008048F9"/>
    <w:rsid w:val="00831B1F"/>
    <w:rsid w:val="00882427"/>
    <w:rsid w:val="008C7C27"/>
    <w:rsid w:val="008F231D"/>
    <w:rsid w:val="008F2FAB"/>
    <w:rsid w:val="0090787B"/>
    <w:rsid w:val="00937B5A"/>
    <w:rsid w:val="00946EF2"/>
    <w:rsid w:val="009A732E"/>
    <w:rsid w:val="009C5952"/>
    <w:rsid w:val="009E0A32"/>
    <w:rsid w:val="009E5C15"/>
    <w:rsid w:val="009F66F2"/>
    <w:rsid w:val="00A873CB"/>
    <w:rsid w:val="00B30C1E"/>
    <w:rsid w:val="00B46E72"/>
    <w:rsid w:val="00B538A3"/>
    <w:rsid w:val="00B55630"/>
    <w:rsid w:val="00C752F0"/>
    <w:rsid w:val="00CB140B"/>
    <w:rsid w:val="00CF011F"/>
    <w:rsid w:val="00D01D1B"/>
    <w:rsid w:val="00D05487"/>
    <w:rsid w:val="00DD6825"/>
    <w:rsid w:val="00DE13D8"/>
    <w:rsid w:val="00DE6D3C"/>
    <w:rsid w:val="00DF7A25"/>
    <w:rsid w:val="00E10B73"/>
    <w:rsid w:val="00E20403"/>
    <w:rsid w:val="00E8404C"/>
    <w:rsid w:val="00E94C31"/>
    <w:rsid w:val="00EE7FD7"/>
    <w:rsid w:val="00F06DE7"/>
    <w:rsid w:val="00F6411A"/>
    <w:rsid w:val="00FA283D"/>
    <w:rsid w:val="00FB587C"/>
    <w:rsid w:val="00FF66BE"/>
    <w:rsid w:val="01786AC3"/>
    <w:rsid w:val="02E8169C"/>
    <w:rsid w:val="032C3CE1"/>
    <w:rsid w:val="05EA05B9"/>
    <w:rsid w:val="060B3707"/>
    <w:rsid w:val="07EB79D6"/>
    <w:rsid w:val="08501612"/>
    <w:rsid w:val="09954F75"/>
    <w:rsid w:val="09956601"/>
    <w:rsid w:val="0B952A4F"/>
    <w:rsid w:val="0BA115A6"/>
    <w:rsid w:val="0D6367E4"/>
    <w:rsid w:val="10CC6F6F"/>
    <w:rsid w:val="12BE6C0A"/>
    <w:rsid w:val="144C252C"/>
    <w:rsid w:val="150A19EE"/>
    <w:rsid w:val="17C82FF6"/>
    <w:rsid w:val="18A70C2D"/>
    <w:rsid w:val="19D00AC4"/>
    <w:rsid w:val="1C627327"/>
    <w:rsid w:val="20D16D94"/>
    <w:rsid w:val="21A268AC"/>
    <w:rsid w:val="21B426AC"/>
    <w:rsid w:val="221456E5"/>
    <w:rsid w:val="2436699F"/>
    <w:rsid w:val="258955DB"/>
    <w:rsid w:val="293242AC"/>
    <w:rsid w:val="29FC53BC"/>
    <w:rsid w:val="2B4262A0"/>
    <w:rsid w:val="2BE222CE"/>
    <w:rsid w:val="2C016689"/>
    <w:rsid w:val="2D0D48B7"/>
    <w:rsid w:val="30DB5145"/>
    <w:rsid w:val="31015BBD"/>
    <w:rsid w:val="334C5F71"/>
    <w:rsid w:val="33B23754"/>
    <w:rsid w:val="347067DC"/>
    <w:rsid w:val="36B37202"/>
    <w:rsid w:val="39B73441"/>
    <w:rsid w:val="39E40528"/>
    <w:rsid w:val="3A6401D0"/>
    <w:rsid w:val="3F514AE1"/>
    <w:rsid w:val="44AC71E3"/>
    <w:rsid w:val="455005EE"/>
    <w:rsid w:val="459D00E8"/>
    <w:rsid w:val="467C4E2C"/>
    <w:rsid w:val="4D0C0565"/>
    <w:rsid w:val="4E2564F3"/>
    <w:rsid w:val="4ECC72E7"/>
    <w:rsid w:val="511D4FF2"/>
    <w:rsid w:val="51757941"/>
    <w:rsid w:val="55A47791"/>
    <w:rsid w:val="56C8202B"/>
    <w:rsid w:val="57D80DB7"/>
    <w:rsid w:val="5B9463A1"/>
    <w:rsid w:val="5CF4716A"/>
    <w:rsid w:val="5D1B22F7"/>
    <w:rsid w:val="5D1D3DEC"/>
    <w:rsid w:val="61A902A4"/>
    <w:rsid w:val="66142DD9"/>
    <w:rsid w:val="68D3720F"/>
    <w:rsid w:val="69FA764A"/>
    <w:rsid w:val="6A055F76"/>
    <w:rsid w:val="6B7A2718"/>
    <w:rsid w:val="6B862471"/>
    <w:rsid w:val="6CB712E8"/>
    <w:rsid w:val="6D301E87"/>
    <w:rsid w:val="6F54135A"/>
    <w:rsid w:val="6F6E2C29"/>
    <w:rsid w:val="6FE02A1A"/>
    <w:rsid w:val="6FFC6A05"/>
    <w:rsid w:val="701E7300"/>
    <w:rsid w:val="732B43FD"/>
    <w:rsid w:val="73D7501E"/>
    <w:rsid w:val="740C1D6B"/>
    <w:rsid w:val="778B1DF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715</Words>
  <Characters>4082</Characters>
  <Lines>34</Lines>
  <Paragraphs>9</Paragraphs>
  <TotalTime>1</TotalTime>
  <ScaleCrop>false</ScaleCrop>
  <LinksUpToDate>false</LinksUpToDate>
  <CharactersWithSpaces>4788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2019-09-03T08:27:32Z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