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drawing>
          <wp:anchor distT="0" distB="0" distL="114300" distR="114300" simplePos="0" relativeHeight="251688960" behindDoc="1" locked="0" layoutInCell="1" allowOverlap="1">
            <wp:simplePos x="0" y="0"/>
            <wp:positionH relativeFrom="column">
              <wp:posOffset>-238125</wp:posOffset>
            </wp:positionH>
            <wp:positionV relativeFrom="paragraph">
              <wp:posOffset>-215265</wp:posOffset>
            </wp:positionV>
            <wp:extent cx="7578725" cy="10720705"/>
            <wp:effectExtent l="0" t="0" r="3175" b="4445"/>
            <wp:wrapNone/>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6"/>
                    <a:stretch>
                      <a:fillRect/>
                    </a:stretch>
                  </pic:blipFill>
                  <pic:spPr>
                    <a:xfrm>
                      <a:off x="0" y="0"/>
                      <a:ext cx="7578725" cy="10720705"/>
                    </a:xfrm>
                    <a:prstGeom prst="rect">
                      <a:avLst/>
                    </a:prstGeom>
                  </pic:spPr>
                </pic:pic>
              </a:graphicData>
            </a:graphic>
          </wp:anchor>
        </w:drawing>
      </w:r>
      <w:r>
        <w:drawing>
          <wp:anchor distT="0" distB="0" distL="114300" distR="114300" simplePos="0" relativeHeight="251686912" behindDoc="0" locked="0" layoutInCell="1" allowOverlap="1">
            <wp:simplePos x="0" y="0"/>
            <wp:positionH relativeFrom="column">
              <wp:posOffset>6021705</wp:posOffset>
            </wp:positionH>
            <wp:positionV relativeFrom="paragraph">
              <wp:posOffset>-3503295</wp:posOffset>
            </wp:positionV>
            <wp:extent cx="574675" cy="343535"/>
            <wp:effectExtent l="0" t="0" r="0" b="0"/>
            <wp:wrapNone/>
            <wp:docPr id="8" name="图片 8"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等待标志"/>
                    <pic:cNvPicPr>
                      <a:picLocks noChangeAspect="1"/>
                    </pic:cNvPicPr>
                  </pic:nvPicPr>
                  <pic:blipFill>
                    <a:blip r:embed="rId7"/>
                    <a:stretch>
                      <a:fillRect/>
                    </a:stretch>
                  </pic:blipFill>
                  <pic:spPr>
                    <a:xfrm>
                      <a:off x="0" y="0"/>
                      <a:ext cx="574675" cy="343535"/>
                    </a:xfrm>
                    <a:prstGeom prst="rect">
                      <a:avLst/>
                    </a:prstGeom>
                  </pic:spPr>
                </pic:pic>
              </a:graphicData>
            </a:graphic>
          </wp:anchor>
        </w:drawing>
      </w:r>
    </w:p>
    <w:p>
      <w:r>
        <w:drawing>
          <wp:anchor distT="0" distB="0" distL="114300" distR="114300" simplePos="0" relativeHeight="251664384" behindDoc="0" locked="0" layoutInCell="1" allowOverlap="1">
            <wp:simplePos x="0" y="0"/>
            <wp:positionH relativeFrom="column">
              <wp:posOffset>-215900</wp:posOffset>
            </wp:positionH>
            <wp:positionV relativeFrom="paragraph">
              <wp:posOffset>-215900</wp:posOffset>
            </wp:positionV>
            <wp:extent cx="7571740" cy="1070991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740" cy="10709910"/>
                    </a:xfrm>
                    <a:prstGeom prst="rect">
                      <a:avLst/>
                    </a:prstGeom>
                  </pic:spPr>
                </pic:pic>
              </a:graphicData>
            </a:graphic>
          </wp:anchor>
        </w:drawing>
      </w:r>
      <w:r>
        <w:br w:type="page"/>
      </w:r>
    </w:p>
    <w:p>
      <w:r>
        <w:drawing>
          <wp:anchor distT="0" distB="0" distL="114300" distR="114300" simplePos="0" relativeHeight="251683840" behindDoc="0" locked="0" layoutInCell="1" allowOverlap="1">
            <wp:simplePos x="0" y="0"/>
            <wp:positionH relativeFrom="column">
              <wp:posOffset>-215900</wp:posOffset>
            </wp:positionH>
            <wp:positionV relativeFrom="paragraph">
              <wp:posOffset>-215900</wp:posOffset>
            </wp:positionV>
            <wp:extent cx="7557770" cy="10690860"/>
            <wp:effectExtent l="0" t="0" r="508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r>
        <w:br w:type="page"/>
      </w:r>
    </w:p>
    <w:p>
      <w:r>
        <w:drawing>
          <wp:anchor distT="0" distB="0" distL="114300" distR="114300" simplePos="0" relativeHeight="251687936" behindDoc="0" locked="0" layoutInCell="1" allowOverlap="1">
            <wp:simplePos x="0" y="0"/>
            <wp:positionH relativeFrom="column">
              <wp:posOffset>-215900</wp:posOffset>
            </wp:positionH>
            <wp:positionV relativeFrom="paragraph">
              <wp:posOffset>-215900</wp:posOffset>
            </wp:positionV>
            <wp:extent cx="7562215" cy="10696575"/>
            <wp:effectExtent l="0" t="0" r="635"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215" cy="1069657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188"/>
        <w:gridCol w:w="501"/>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7"/>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荣耀时光（</w:t>
            </w:r>
            <w:r>
              <w:rPr>
                <w:rFonts w:hint="eastAsia" w:ascii="微软雅黑" w:hAnsi="微软雅黑" w:eastAsia="微软雅黑"/>
                <w:b/>
                <w:iCs/>
                <w:color w:val="FFFFFF" w:themeColor="background1"/>
                <w:sz w:val="36"/>
                <w:lang w:eastAsia="zh-CN"/>
                <w14:textFill>
                  <w14:solidFill>
                    <w14:schemeClr w14:val="bg1"/>
                  </w14:solidFill>
                </w14:textFill>
              </w:rPr>
              <w:t>豪华</w:t>
            </w:r>
            <w:r>
              <w:rPr>
                <w:rFonts w:hint="eastAsia" w:ascii="微软雅黑" w:hAnsi="微软雅黑" w:eastAsia="微软雅黑"/>
                <w:b/>
                <w:iCs/>
                <w:color w:val="FFFFFF" w:themeColor="background1"/>
                <w:sz w:val="36"/>
                <w14:textFill>
                  <w14:solidFill>
                    <w14:schemeClr w14:val="bg1"/>
                  </w14:solidFill>
                </w14:textFill>
              </w:rPr>
              <w:t>版）</w:t>
            </w:r>
          </w:p>
        </w:tc>
      </w:tr>
      <w:tr>
        <w:tblPrEx>
          <w:tblLayout w:type="fixed"/>
          <w:tblCellMar>
            <w:top w:w="57" w:type="dxa"/>
            <w:left w:w="57" w:type="dxa"/>
            <w:bottom w:w="57" w:type="dxa"/>
            <w:right w:w="57" w:type="dxa"/>
          </w:tblCellMar>
        </w:tblPrEx>
        <w:trPr>
          <w:trHeight w:val="446" w:hRule="atLeast"/>
          <w:jc w:val="center"/>
        </w:trPr>
        <w:tc>
          <w:tcPr>
            <w:tcW w:w="8348" w:type="dxa"/>
            <w:gridSpan w:val="5"/>
            <w:tcBorders>
              <w:bottom w:val="single" w:color="E60044" w:sz="4" w:space="0"/>
              <w:tl2br w:val="nil"/>
              <w:tr2bl w:val="nil"/>
            </w:tcBorders>
            <w:shd w:val="clear" w:color="auto" w:fill="auto"/>
            <w:vAlign w:val="center"/>
          </w:tcPr>
          <w:p>
            <w:pPr>
              <w:jc w:val="left"/>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E60044" w:sz="4" w:space="0"/>
              <w:tl2br w:val="nil"/>
              <w:tr2bl w:val="nil"/>
            </w:tcBorders>
            <w:shd w:val="clear" w:color="auto" w:fill="auto"/>
            <w:vAlign w:val="center"/>
          </w:tcPr>
          <w:p>
            <w:pPr>
              <w:jc w:val="left"/>
              <w:rPr>
                <w:rFonts w:ascii="宋体" w:hAnsi="宋体"/>
                <w:b/>
                <w:color w:val="C00000"/>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3"/>
            <w:tcBorders>
              <w:top w:val="single" w:color="FFFFFF" w:sz="4" w:space="0"/>
              <w:left w:val="single" w:color="FFFFFF" w:sz="4" w:space="0"/>
              <w:right w:val="single" w:color="FFFFFF" w:sz="4" w:space="0"/>
            </w:tcBorders>
            <w:shd w:val="clear" w:color="auto" w:fill="F1D2C2"/>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F1D2C2"/>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住有面子：</w:t>
            </w:r>
          </w:p>
          <w:p>
            <w:pPr>
              <w:rPr>
                <w:rFonts w:ascii="宋体" w:hAnsi="宋体"/>
                <w:sz w:val="20"/>
                <w:szCs w:val="20"/>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三亚一地，全程连住三亚湾红树林，免行李搬运烦扰。</w:t>
            </w:r>
            <w:r>
              <w:rPr>
                <w:rFonts w:hint="eastAsia" w:ascii="宋体" w:hAnsi="宋体"/>
                <w:sz w:val="20"/>
                <w:szCs w:val="20"/>
              </w:rPr>
              <w:t xml:space="preserve"> </w:t>
            </w:r>
          </w:p>
          <w:p>
            <w:pPr>
              <w:spacing w:line="280" w:lineRule="exact"/>
              <w:rPr>
                <w:rFonts w:cs="Arial" w:asciiTheme="minorEastAsia" w:hAnsiTheme="minorEastAsia"/>
                <w:b/>
                <w:bCs/>
                <w:color w:val="E60044"/>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玩有面子：</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三大5A搭配双4A景区，赠海景摩天轮，5A海岛蜈支洲、5A民俗槟榔谷、5A佛境南山、4A雨林亚龙湾热带天堂森林公园、4A经典天涯海角、HOT新地标三亚国际免税城；每天2个景点，轻松行程深度体验。</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吃有面子：</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正餐标30元/人，升级品鉴“蟹鲍海鲜餐1份/人”、“波隆野菜自助餐”、“南山素斋”、各1次</w:t>
            </w:r>
          </w:p>
          <w:p>
            <w:pPr>
              <w:spacing w:line="280" w:lineRule="exact"/>
              <w:rPr>
                <w:rFonts w:cs="Arial" w:asciiTheme="minorEastAsia" w:hAnsiTheme="minorEastAsia"/>
                <w:b/>
                <w:bCs/>
                <w:color w:val="E60044"/>
                <w:szCs w:val="21"/>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after="156" w:afterLines="50" w:line="280" w:lineRule="exact"/>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0购物，全程不增加行程外购物点、不更换景点、不压缩游览时间，违约赔付2000元/人。</w:t>
            </w:r>
          </w:p>
          <w:p>
            <w:pPr>
              <w:spacing w:after="156" w:afterLines="50"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经典赠送：</w:t>
            </w:r>
          </w:p>
          <w:p>
            <w:pPr>
              <w:spacing w:after="156" w:afterLines="50" w:line="280" w:lineRule="exact"/>
              <w:rPr>
                <w:rFonts w:ascii="宋体" w:hAnsi="宋体"/>
                <w:sz w:val="20"/>
                <w:szCs w:val="20"/>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全程品牌矿泉水1瓶/人/天、旅行社责任险。</w:t>
            </w:r>
          </w:p>
        </w:tc>
      </w:tr>
      <w:tr>
        <w:tblPrEx>
          <w:tblLayout w:type="fixed"/>
          <w:tblCellMar>
            <w:top w:w="57" w:type="dxa"/>
            <w:left w:w="57" w:type="dxa"/>
            <w:bottom w:w="57" w:type="dxa"/>
            <w:right w:w="57" w:type="dxa"/>
          </w:tblCellMar>
        </w:tblPrEx>
        <w:trPr>
          <w:trHeight w:val="1271" w:hRule="atLeast"/>
          <w:jc w:val="center"/>
        </w:trPr>
        <w:tc>
          <w:tcPr>
            <w:tcW w:w="1863" w:type="dxa"/>
            <w:gridSpan w:val="3"/>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spacing w:before="93" w:beforeLines="30" w:after="93" w:afterLines="3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93" w:beforeLines="30" w:after="93" w:afterLines="3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93" w:beforeLines="30" w:after="93" w:afterLines="3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2673"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8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r>
              <w:rPr>
                <w:rFonts w:hint="eastAsia"/>
                <w:b/>
                <w:color w:val="E60044"/>
                <w:sz w:val="18"/>
                <w:szCs w:val="18"/>
                <w:lang w:val="zh-TW"/>
              </w:rPr>
              <w:t xml:space="preserve">三亚国际免税城 </w:t>
            </w:r>
          </w:p>
          <w:p>
            <w:pPr>
              <w:pStyle w:val="5"/>
              <w:spacing w:before="62" w:beforeLines="20" w:beforeAutospacing="0" w:after="62" w:afterLines="2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62" w:beforeLines="20" w:after="62" w:afterLines="20" w:line="280" w:lineRule="exact"/>
            </w:pPr>
            <w:r>
              <w:rPr>
                <w:rFonts w:hint="eastAsia"/>
                <w:b/>
                <w:bCs/>
                <w:sz w:val="18"/>
                <w:szCs w:val="18"/>
                <w:lang w:val="zh-TW"/>
              </w:rPr>
              <w:t>【三亚国际免税城】：</w:t>
            </w:r>
            <w:r>
              <w:rPr>
                <w:rFonts w:hint="eastAsia"/>
                <w:color w:val="262626" w:themeColor="text1" w:themeTint="D9"/>
                <w:sz w:val="18"/>
                <w:szCs w:val="18"/>
                <w14:textFill>
                  <w14:solidFill>
                    <w14:schemeClr w14:val="tx1">
                      <w14:lumMod w14:val="85000"/>
                      <w14:lumOff w14:val="15000"/>
                    </w14:schemeClr>
                  </w14:solidFill>
                </w14:textFill>
              </w:rPr>
              <w:t>（游览时间不少于90分钟）</w:t>
            </w:r>
            <w:r>
              <w:rPr>
                <w:rFonts w:hint="eastAsia"/>
                <w:sz w:val="18"/>
                <w:szCs w:val="18"/>
                <w:lang w:val="zh-TW"/>
              </w:rPr>
              <w:t>作为三亚新地标，聚集了香奈儿、兰蔻、阿玛尼等多种国际名品和丰盛美食，可充分享受国际旅游岛离岛免税政策带来的极大实惠与便利。</w:t>
            </w:r>
            <w:r>
              <w:rPr>
                <w:rFonts w:hint="eastAsia"/>
              </w:rPr>
              <w:t xml:space="preserve">  </w:t>
            </w:r>
          </w:p>
          <w:p>
            <w:pPr>
              <w:spacing w:before="62" w:beforeLines="20" w:after="62" w:afterLines="20" w:line="280" w:lineRule="exact"/>
              <w:rPr>
                <w:sz w:val="18"/>
                <w:szCs w:val="18"/>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8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49"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color w:val="E60044"/>
                <w:sz w:val="18"/>
                <w:szCs w:val="18"/>
              </w:rPr>
              <w:t>槟榔谷—</w:t>
            </w:r>
            <w:r>
              <w:rPr>
                <w:rFonts w:hint="eastAsia"/>
                <w:b/>
                <w:bCs/>
                <w:color w:val="E60044"/>
                <w:sz w:val="18"/>
                <w:szCs w:val="18"/>
                <w:lang w:val="zh-TW"/>
              </w:rPr>
              <w:t xml:space="preserve">亚龙湾热带天堂森林公园 </w:t>
            </w:r>
            <w:r>
              <w:rPr>
                <w:rFonts w:hint="eastAsia"/>
                <w:b/>
                <w:color w:val="E60044"/>
                <w:sz w:val="18"/>
                <w:szCs w:val="18"/>
              </w:rPr>
              <w:t>—赠海景摩天轮</w:t>
            </w:r>
          </w:p>
          <w:p>
            <w:pPr>
              <w:rPr>
                <w:rFonts w:asciiTheme="minorEastAsia" w:hAnsiTheme="minorEastAsia"/>
                <w:bCs/>
                <w:sz w:val="18"/>
                <w:szCs w:val="18"/>
              </w:rPr>
            </w:pPr>
            <w:r>
              <w:rPr>
                <w:rFonts w:hint="eastAsia" w:asciiTheme="minorEastAsia" w:hAnsiTheme="minorEastAsia"/>
                <w:b/>
                <w:bCs/>
                <w:sz w:val="18"/>
                <w:szCs w:val="18"/>
              </w:rPr>
              <w:t>【槟榔谷黎苗文化旅游景区】：</w:t>
            </w:r>
            <w:r>
              <w:rPr>
                <w:rFonts w:hint="eastAsia" w:asciiTheme="minorEastAsia" w:hAnsiTheme="minorEastAsia"/>
                <w:bCs/>
                <w:sz w:val="18"/>
                <w:szCs w:val="18"/>
              </w:rPr>
              <w:t>（游览时间不少于120分钟）中国首家民族文化型5A级景区，海南民族文化的“活化石”，婀娜多姿的槟榔林海，置身于古木参天、藤蔓交织的热带雨林中。</w:t>
            </w:r>
          </w:p>
          <w:p>
            <w:pPr>
              <w:rPr>
                <w:rFonts w:asciiTheme="minorEastAsia" w:hAnsiTheme="minorEastAsia"/>
                <w:b/>
                <w:bCs/>
                <w:sz w:val="18"/>
                <w:szCs w:val="18"/>
              </w:rPr>
            </w:pPr>
            <w:r>
              <w:rPr>
                <w:rFonts w:hint="eastAsia" w:asciiTheme="minorEastAsia" w:hAnsiTheme="minorEastAsia"/>
                <w:bCs/>
                <w:sz w:val="18"/>
                <w:szCs w:val="18"/>
              </w:rPr>
              <w:t>午餐享用波隆野菜自助餐，别具特色的本土风味。</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62" w:beforeLines="20" w:after="62" w:afterLines="20"/>
              <w:rPr>
                <w:b/>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赠海景摩天轮：</w:t>
            </w:r>
            <w:r>
              <w:rPr>
                <w:rFonts w:hint="eastAsia"/>
                <w:color w:val="262626" w:themeColor="text1" w:themeTint="D9"/>
                <w:sz w:val="18"/>
                <w:szCs w:val="18"/>
                <w14:textFill>
                  <w14:solidFill>
                    <w14:schemeClr w14:val="tx1">
                      <w14:lumMod w14:val="85000"/>
                      <w14:lumOff w14:val="15000"/>
                    </w14:schemeClr>
                  </w14:solidFill>
                </w14:textFill>
              </w:rPr>
              <w:t>中国最南端海上</w:t>
            </w:r>
            <w:r>
              <w:rPr>
                <w:color w:val="262626" w:themeColor="text1" w:themeTint="D9"/>
                <w:sz w:val="18"/>
                <w:szCs w:val="18"/>
                <w14:textFill>
                  <w14:solidFill>
                    <w14:schemeClr w14:val="tx1">
                      <w14:lumMod w14:val="85000"/>
                      <w14:lumOff w14:val="15000"/>
                    </w14:schemeClr>
                  </w14:solidFill>
                </w14:textFill>
              </w:rPr>
              <w:t>88</w:t>
            </w:r>
            <w:r>
              <w:rPr>
                <w:rFonts w:hint="eastAsia"/>
                <w:color w:val="262626" w:themeColor="text1" w:themeTint="D9"/>
                <w:sz w:val="18"/>
                <w:szCs w:val="18"/>
                <w14:textFill>
                  <w14:solidFill>
                    <w14:schemeClr w14:val="tx1">
                      <w14:lumMod w14:val="85000"/>
                      <w14:lumOff w14:val="15000"/>
                    </w14:schemeClr>
                  </w14:solidFill>
                </w14:textFill>
              </w:rPr>
              <w:t>米高的“三亚之眼”，这样的摩天轮，你一定没有体验过，在此尽览</w:t>
            </w:r>
            <w:r>
              <w:rPr>
                <w:color w:val="262626" w:themeColor="text1" w:themeTint="D9"/>
                <w:sz w:val="18"/>
                <w:szCs w:val="18"/>
                <w14:textFill>
                  <w14:solidFill>
                    <w14:schemeClr w14:val="tx1">
                      <w14:lumMod w14:val="85000"/>
                      <w14:lumOff w14:val="15000"/>
                    </w14:schemeClr>
                  </w14:solidFill>
                </w14:textFill>
              </w:rPr>
              <w:t>360</w:t>
            </w:r>
            <w:r>
              <w:rPr>
                <w:rFonts w:hint="eastAsia"/>
                <w:color w:val="262626" w:themeColor="text1" w:themeTint="D9"/>
                <w:sz w:val="18"/>
                <w:szCs w:val="18"/>
                <w14:textFill>
                  <w14:solidFill>
                    <w14:schemeClr w14:val="tx1">
                      <w14:lumMod w14:val="85000"/>
                      <w14:lumOff w14:val="15000"/>
                    </w14:schemeClr>
                  </w14:solidFill>
                </w14:textFill>
              </w:rPr>
              <w:t>°中国最美海岸线吧。</w:t>
            </w:r>
            <w:r>
              <w:rPr>
                <w:rFonts w:hint="eastAsia"/>
                <w:color w:val="262626" w:themeColor="text1" w:themeTint="D9"/>
                <w:sz w:val="18"/>
                <w:szCs w:val="18"/>
                <w:u w:val="single"/>
                <w14:textFill>
                  <w14:solidFill>
                    <w14:schemeClr w14:val="tx1">
                      <w14:lumMod w14:val="85000"/>
                      <w14:lumOff w14:val="15000"/>
                    </w14:schemeClr>
                  </w14:solidFill>
                </w14:textFill>
              </w:rPr>
              <w:t>（身高</w:t>
            </w:r>
            <w:r>
              <w:rPr>
                <w:color w:val="262626" w:themeColor="text1" w:themeTint="D9"/>
                <w:sz w:val="18"/>
                <w:szCs w:val="18"/>
                <w:u w:val="single"/>
                <w14:textFill>
                  <w14:solidFill>
                    <w14:schemeClr w14:val="tx1">
                      <w14:lumMod w14:val="85000"/>
                      <w14:lumOff w14:val="15000"/>
                    </w14:schemeClr>
                  </w14:solidFill>
                </w14:textFill>
              </w:rPr>
              <w:t>1.4</w:t>
            </w:r>
            <w:r>
              <w:rPr>
                <w:rFonts w:hint="eastAsia"/>
                <w:color w:val="262626" w:themeColor="text1" w:themeTint="D9"/>
                <w:sz w:val="18"/>
                <w:szCs w:val="18"/>
                <w:u w:val="single"/>
                <w14:textFill>
                  <w14:solidFill>
                    <w14:schemeClr w14:val="tx1">
                      <w14:lumMod w14:val="85000"/>
                      <w14:lumOff w14:val="15000"/>
                    </w14:schemeClr>
                  </w14:solidFill>
                </w14:textFill>
              </w:rPr>
              <w:t>米（不含）以下儿童需成人陪同，</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名成人最多携带</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名儿童，此项目不用不退费）</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早餐：酒店用餐   中餐：波隆野菜自助   </w:t>
            </w:r>
            <w:r>
              <w:rPr>
                <w:rFonts w:hint="eastAsia"/>
                <w:sz w:val="18"/>
                <w:szCs w:val="18"/>
              </w:rPr>
              <w:t>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017"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80" w:lineRule="exact"/>
              <w:rPr>
                <w:b/>
                <w:color w:val="E60044"/>
                <w:sz w:val="18"/>
                <w:szCs w:val="18"/>
              </w:rPr>
            </w:pPr>
            <w:r>
              <w:rPr>
                <w:rFonts w:hint="eastAsia"/>
                <w:color w:val="E60044"/>
                <w:sz w:val="18"/>
                <w:szCs w:val="18"/>
              </w:rPr>
              <w:t>景点安排：</w:t>
            </w:r>
            <w:r>
              <w:rPr>
                <w:rFonts w:hint="eastAsia"/>
                <w:b/>
                <w:bCs/>
                <w:color w:val="E60044"/>
                <w:sz w:val="18"/>
                <w:szCs w:val="18"/>
              </w:rPr>
              <w:t>南山佛教文化苑</w:t>
            </w:r>
            <w:r>
              <w:rPr>
                <w:rFonts w:hint="eastAsia"/>
                <w:color w:val="E60044"/>
                <w:sz w:val="18"/>
                <w:szCs w:val="18"/>
              </w:rPr>
              <w:t>—</w:t>
            </w:r>
            <w:r>
              <w:rPr>
                <w:rFonts w:hint="eastAsia"/>
                <w:b/>
                <w:color w:val="E60044"/>
                <w:sz w:val="18"/>
                <w:szCs w:val="18"/>
              </w:rPr>
              <w:t>天涯海角</w:t>
            </w:r>
          </w:p>
          <w:p>
            <w:pPr>
              <w:pStyle w:val="5"/>
              <w:spacing w:before="62" w:beforeLines="20" w:beforeAutospacing="0" w:after="62" w:afterLines="2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before="62" w:beforeLines="20" w:after="62" w:afterLines="2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spacing w:before="62" w:beforeLines="20" w:after="62" w:afterLines="2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gridSpan w:val="3"/>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spacing w:before="93" w:beforeLines="30" w:after="93" w:afterLines="30" w:line="280" w:lineRule="exact"/>
              <w:rPr>
                <w:sz w:val="18"/>
                <w:szCs w:val="18"/>
                <w:lang w:val="zh-TW"/>
              </w:rPr>
            </w:pPr>
            <w:r>
              <w:rPr>
                <w:rFonts w:hint="eastAsia"/>
                <w:sz w:val="18"/>
                <w:szCs w:val="18"/>
                <w:lang w:val="zh-TW"/>
              </w:rPr>
              <w:t>专人送机，乘机返回温馨家园（酒店退房时间为中午12点前）。</w:t>
            </w:r>
          </w:p>
          <w:p>
            <w:pPr>
              <w:spacing w:before="93" w:beforeLines="30" w:after="93" w:afterLines="30" w:line="28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93" w:beforeLines="30" w:after="93" w:afterLines="30" w:line="280" w:lineRule="exact"/>
              <w:rPr>
                <w:sz w:val="18"/>
                <w:szCs w:val="18"/>
                <w:lang w:val="zh-TW"/>
              </w:rPr>
            </w:pPr>
          </w:p>
          <w:p>
            <w:pPr>
              <w:spacing w:before="93" w:beforeLines="30" w:after="93" w:afterLines="30" w:line="28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630" w:hRule="atLeast"/>
          <w:jc w:val="center"/>
        </w:trPr>
        <w:tc>
          <w:tcPr>
            <w:tcW w:w="11225" w:type="dxa"/>
            <w:gridSpan w:val="7"/>
            <w:tcBorders>
              <w:bottom w:val="single" w:color="E60044" w:sz="4" w:space="0"/>
              <w:tl2br w:val="nil"/>
              <w:tr2bl w:val="nil"/>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539" w:hRule="atLeast"/>
          <w:jc w:val="center"/>
        </w:trPr>
        <w:tc>
          <w:tcPr>
            <w:tcW w:w="11225" w:type="dxa"/>
            <w:gridSpan w:val="7"/>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w:t>
            </w:r>
            <w:r>
              <w:rPr>
                <w:rFonts w:hint="eastAsia" w:ascii="宋体" w:hAnsi="宋体"/>
                <w:sz w:val="18"/>
                <w:szCs w:val="18"/>
              </w:rPr>
              <w:t>全程连住</w:t>
            </w:r>
            <w:r>
              <w:rPr>
                <w:rFonts w:hint="eastAsia"/>
                <w:sz w:val="18"/>
                <w:szCs w:val="18"/>
              </w:rPr>
              <w:t>三亚湾红树林</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正4早，正餐标30元/人/餐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升级品鉴</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“蟹鲍海鲜餐1份/人”、</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“波隆野菜自助餐”、“南山素斋”各1次；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7"/>
            <w:tcBorders>
              <w:bottom w:val="single" w:color="E60044" w:sz="4" w:space="0"/>
              <w:tl2br w:val="nil"/>
              <w:tr2bl w:val="nil"/>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524" w:hRule="atLeast"/>
          <w:jc w:val="center"/>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红树林、海韵、中心皇冠、三亚湾假日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7"/>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Layout w:type="fixed"/>
          <w:tblCellMar>
            <w:top w:w="113" w:type="dxa"/>
            <w:left w:w="57" w:type="dxa"/>
            <w:bottom w:w="113" w:type="dxa"/>
            <w:right w:w="57" w:type="dxa"/>
          </w:tblCellMar>
        </w:tblPrEx>
        <w:trPr>
          <w:trHeight w:val="513" w:hRule="atLeast"/>
          <w:jc w:val="center"/>
        </w:trPr>
        <w:tc>
          <w:tcPr>
            <w:tcW w:w="11225" w:type="dxa"/>
            <w:gridSpan w:val="7"/>
            <w:tcBorders>
              <w:bottom w:val="single" w:color="E60044"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1026" w:hRule="atLeast"/>
          <w:jc w:val="center"/>
        </w:trPr>
        <w:tc>
          <w:tcPr>
            <w:tcW w:w="1188" w:type="dxa"/>
            <w:tcBorders>
              <w:top w:val="single" w:color="E60044" w:sz="4" w:space="0"/>
              <w:left w:val="single" w:color="FFFFFF" w:sz="4" w:space="0"/>
              <w:bottom w:val="single" w:color="E60044"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波隆野菜自助</w:t>
            </w:r>
          </w:p>
        </w:tc>
        <w:tc>
          <w:tcPr>
            <w:tcW w:w="10037" w:type="dxa"/>
            <w:gridSpan w:val="6"/>
            <w:tcBorders>
              <w:top w:val="single" w:color="E60044" w:sz="4" w:space="0"/>
              <w:left w:val="single" w:color="FFFFFF" w:sz="4" w:space="0"/>
              <w:bottom w:val="single" w:color="E60044"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sz w:val="18"/>
                <w:szCs w:val="18"/>
              </w:rPr>
              <w:t>凉菜类：海鲜卷、金针菇拌青瓜、糖拌西红柿、黎家萝卜干、凉拌野菜、洋葱拌木耳、凉拌海带丝；热菜类：白切槟榔鸡、腐竹焖鸭块、豆酱蒸河鲜、脆皮木瓜酥、爽口水立方、蒌叶煎土鸡蛋、清蒸南瓜、炒时蔬、野菜煎五花肉、黎家豆腐、烧汁爽肉、木瓜炒韭菜、海白煮萝卜丝；汤类：野生山菌老鸡汤、槟榔花冬瓜老鸭汤、猪肺汤；主食类：腌海南粉、绿豆糕甜品、地瓜粥、野菜炒饭、老面馒头、野菜瘦肉粥、蛋糕、香蒸菜包；田园沙律：紫椰子菜、红萝卜、洋葱、青瓜、圣女果、西生菜、大葱、玉米、红腰果。</w:t>
            </w:r>
          </w:p>
        </w:tc>
      </w:tr>
      <w:tr>
        <w:tblPrEx>
          <w:tblLayout w:type="fixed"/>
          <w:tblCellMar>
            <w:top w:w="113" w:type="dxa"/>
            <w:left w:w="57" w:type="dxa"/>
            <w:bottom w:w="113" w:type="dxa"/>
            <w:right w:w="57" w:type="dxa"/>
          </w:tblCellMar>
        </w:tblPrEx>
        <w:trPr>
          <w:trHeight w:val="451"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tcPr>
          <w:p>
            <w:pPr>
              <w:rPr>
                <w:sz w:val="18"/>
                <w:szCs w:val="18"/>
              </w:rPr>
            </w:pPr>
            <w:r>
              <w:rPr>
                <w:rFonts w:hint="eastAsia"/>
                <w:sz w:val="18"/>
                <w:szCs w:val="18"/>
              </w:rPr>
              <w:t>蟹鲍海鲜餐1份/人</w:t>
            </w:r>
          </w:p>
        </w:tc>
        <w:tc>
          <w:tcPr>
            <w:tcW w:w="10037" w:type="dxa"/>
            <w:gridSpan w:val="6"/>
            <w:tcBorders>
              <w:top w:val="single" w:color="E60044" w:sz="4" w:space="0"/>
              <w:left w:val="single" w:color="FFFFFF" w:sz="4" w:space="0"/>
              <w:bottom w:val="single" w:color="FFFFFF" w:sz="4" w:space="0"/>
              <w:right w:val="single" w:color="FFFFFF" w:sz="4" w:space="0"/>
            </w:tcBorders>
            <w:shd w:val="clear" w:color="auto" w:fill="E7E6E6" w:themeFill="background2"/>
          </w:tcPr>
          <w:p>
            <w:pPr>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tcBorders>
              <w:top w:val="nil"/>
              <w:left w:val="nil"/>
              <w:bottom w:val="single" w:color="E60044" w:sz="4" w:space="0"/>
              <w:right w:val="nil"/>
            </w:tcBorders>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op w:val="single" w:color="E60044" w:sz="4" w:space="0"/>
              <w:tl2br w:val="nil"/>
              <w:tr2bl w:val="nil"/>
            </w:tcBorders>
            <w:shd w:val="clear" w:color="auto" w:fill="auto"/>
          </w:tcPr>
          <w:tbl>
            <w:tblPr>
              <w:tblStyle w:val="6"/>
              <w:tblpPr w:leftFromText="180" w:rightFromText="180" w:vertAnchor="text" w:horzAnchor="page" w:tblpX="415" w:tblpY="93"/>
              <w:tblOverlap w:val="never"/>
              <w:tblW w:w="2244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0"/>
              <w:gridCol w:w="11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sz w:val="18"/>
                      <w:szCs w:val="21"/>
                    </w:rPr>
                    <w:t>0</w:t>
                  </w:r>
                  <w:r>
                    <w:rPr>
                      <w:rFonts w:hint="eastAsia"/>
                      <w:sz w:val="18"/>
                      <w:szCs w:val="21"/>
                    </w:rPr>
                    <w:t>购物</w:t>
                  </w:r>
                  <w:r>
                    <w:rPr>
                      <w:rFonts w:hint="eastAsia" w:asciiTheme="minorEastAsia" w:hAnsiTheme="minorEastAsia" w:cstheme="minorEastAsia"/>
                      <w:sz w:val="18"/>
                      <w:szCs w:val="21"/>
                    </w:rPr>
                    <w:t>”解释：我社郑重承诺本线路全程绝不包含及另行增加任何官方或非官方购物店，游客如有购物需求，敬请自行前往；不适用于游客自行自愿所选择的：海上自愿娱乐项目、景区内交通工具及特色演出（千古情演出300元/人，槟榔古韵演出175元/人，实际价格请以运营商公布为准）；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旅游者对车辆及司机服务有投诉请直接向海南旅游车统一调度中心进行投诉，电话：0898-66833159。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更换为其它等价景点或项目【如：蜈支洲换为天堂森林公园或呀诺达+雨林养生餐】,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sz w:val="18"/>
                      <w:szCs w:val="21"/>
                    </w:rPr>
                    <w:t>0</w:t>
                  </w:r>
                  <w:r>
                    <w:rPr>
                      <w:rFonts w:hint="eastAsia"/>
                      <w:sz w:val="18"/>
                      <w:szCs w:val="21"/>
                    </w:rPr>
                    <w:t>购物</w:t>
                  </w:r>
                  <w:r>
                    <w:rPr>
                      <w:rFonts w:hint="eastAsia" w:asciiTheme="minorEastAsia" w:hAnsiTheme="minorEastAsia" w:cstheme="minorEastAsia"/>
                      <w:sz w:val="18"/>
                      <w:szCs w:val="21"/>
                    </w:rPr>
                    <w:t>”解释：我社郑重承诺本线路全程绝不包含及另行增加任何官方或非官方购物店，游客如有购物需求，敬请自行前往；不适用于游客自行自愿所选择的：海上自愿娱乐项目、景区内交通工具及特色演出（千古情演出300元/人，槟榔古韵演出175元/人，实际价格请以运营商公布为准）；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spacing w:before="62" w:beforeLines="20" w:after="62" w:afterLines="20"/>
              <w:ind w:left="315" w:hanging="315"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C053C"/>
    <w:rsid w:val="000D3503"/>
    <w:rsid w:val="0010621B"/>
    <w:rsid w:val="00125AB4"/>
    <w:rsid w:val="00164E5F"/>
    <w:rsid w:val="001A5209"/>
    <w:rsid w:val="00210187"/>
    <w:rsid w:val="00213178"/>
    <w:rsid w:val="00277009"/>
    <w:rsid w:val="002950DF"/>
    <w:rsid w:val="0030659D"/>
    <w:rsid w:val="00324C8A"/>
    <w:rsid w:val="003262BC"/>
    <w:rsid w:val="003555F3"/>
    <w:rsid w:val="003B0117"/>
    <w:rsid w:val="003C3E34"/>
    <w:rsid w:val="003C7EB2"/>
    <w:rsid w:val="00400458"/>
    <w:rsid w:val="00473CE0"/>
    <w:rsid w:val="0048181A"/>
    <w:rsid w:val="00483E92"/>
    <w:rsid w:val="004A0C3D"/>
    <w:rsid w:val="004F6A01"/>
    <w:rsid w:val="00501410"/>
    <w:rsid w:val="005632FF"/>
    <w:rsid w:val="005805A8"/>
    <w:rsid w:val="005B4FAE"/>
    <w:rsid w:val="005C72FC"/>
    <w:rsid w:val="005D0883"/>
    <w:rsid w:val="00607267"/>
    <w:rsid w:val="00615F52"/>
    <w:rsid w:val="00616EC2"/>
    <w:rsid w:val="00661CE0"/>
    <w:rsid w:val="00676A5F"/>
    <w:rsid w:val="006F2094"/>
    <w:rsid w:val="007605D7"/>
    <w:rsid w:val="00761CE2"/>
    <w:rsid w:val="00780BF5"/>
    <w:rsid w:val="00782BDA"/>
    <w:rsid w:val="007F3433"/>
    <w:rsid w:val="00820639"/>
    <w:rsid w:val="00882164"/>
    <w:rsid w:val="008C0793"/>
    <w:rsid w:val="008C2FE6"/>
    <w:rsid w:val="00903778"/>
    <w:rsid w:val="00927619"/>
    <w:rsid w:val="00984B67"/>
    <w:rsid w:val="009861CB"/>
    <w:rsid w:val="009D2705"/>
    <w:rsid w:val="009F7921"/>
    <w:rsid w:val="00A07368"/>
    <w:rsid w:val="00AC764A"/>
    <w:rsid w:val="00AF1059"/>
    <w:rsid w:val="00B30C1E"/>
    <w:rsid w:val="00B55630"/>
    <w:rsid w:val="00BF0D67"/>
    <w:rsid w:val="00C223C1"/>
    <w:rsid w:val="00C24052"/>
    <w:rsid w:val="00D01D86"/>
    <w:rsid w:val="00D02D09"/>
    <w:rsid w:val="00D06368"/>
    <w:rsid w:val="00D35B14"/>
    <w:rsid w:val="00D82669"/>
    <w:rsid w:val="00DD3242"/>
    <w:rsid w:val="00DF5895"/>
    <w:rsid w:val="00E16440"/>
    <w:rsid w:val="00E3083D"/>
    <w:rsid w:val="00E627C6"/>
    <w:rsid w:val="00EA40FD"/>
    <w:rsid w:val="00EB4AAF"/>
    <w:rsid w:val="00ED2584"/>
    <w:rsid w:val="00F06DE7"/>
    <w:rsid w:val="00F10CB4"/>
    <w:rsid w:val="00F24D7C"/>
    <w:rsid w:val="00F35882"/>
    <w:rsid w:val="00F42E12"/>
    <w:rsid w:val="00F45B0F"/>
    <w:rsid w:val="00F579EB"/>
    <w:rsid w:val="00FC02BF"/>
    <w:rsid w:val="00FF618B"/>
    <w:rsid w:val="01786AC3"/>
    <w:rsid w:val="02E8169C"/>
    <w:rsid w:val="04034433"/>
    <w:rsid w:val="05EA05B9"/>
    <w:rsid w:val="060B3707"/>
    <w:rsid w:val="07EB79D6"/>
    <w:rsid w:val="09956601"/>
    <w:rsid w:val="0B952A4F"/>
    <w:rsid w:val="0BA115A6"/>
    <w:rsid w:val="0D6367E4"/>
    <w:rsid w:val="0FAF483C"/>
    <w:rsid w:val="0FE77DC9"/>
    <w:rsid w:val="14DD2A45"/>
    <w:rsid w:val="150A19EE"/>
    <w:rsid w:val="176554E0"/>
    <w:rsid w:val="17784F52"/>
    <w:rsid w:val="17C82FF6"/>
    <w:rsid w:val="18426961"/>
    <w:rsid w:val="18863276"/>
    <w:rsid w:val="19184998"/>
    <w:rsid w:val="19B36C68"/>
    <w:rsid w:val="1C4B4A27"/>
    <w:rsid w:val="1C627327"/>
    <w:rsid w:val="201B329D"/>
    <w:rsid w:val="22046744"/>
    <w:rsid w:val="221456E5"/>
    <w:rsid w:val="2436699F"/>
    <w:rsid w:val="258955DB"/>
    <w:rsid w:val="29C01738"/>
    <w:rsid w:val="29D65DDA"/>
    <w:rsid w:val="2B4262A0"/>
    <w:rsid w:val="2B430BAE"/>
    <w:rsid w:val="2BE222CE"/>
    <w:rsid w:val="2D0D48B7"/>
    <w:rsid w:val="30DB5145"/>
    <w:rsid w:val="31015BBD"/>
    <w:rsid w:val="31F9170C"/>
    <w:rsid w:val="327971CA"/>
    <w:rsid w:val="34D92E2C"/>
    <w:rsid w:val="38D36798"/>
    <w:rsid w:val="39B73441"/>
    <w:rsid w:val="39E40528"/>
    <w:rsid w:val="3A505AAF"/>
    <w:rsid w:val="3A6401D0"/>
    <w:rsid w:val="3B604E2B"/>
    <w:rsid w:val="44AC71E3"/>
    <w:rsid w:val="455005EE"/>
    <w:rsid w:val="459D00E8"/>
    <w:rsid w:val="4D0C0565"/>
    <w:rsid w:val="4E87796E"/>
    <w:rsid w:val="4ECC72E7"/>
    <w:rsid w:val="511D4FF2"/>
    <w:rsid w:val="51FB000A"/>
    <w:rsid w:val="52236754"/>
    <w:rsid w:val="52CE4781"/>
    <w:rsid w:val="544D468F"/>
    <w:rsid w:val="55A47791"/>
    <w:rsid w:val="58451BBE"/>
    <w:rsid w:val="599D5C69"/>
    <w:rsid w:val="5CF4716A"/>
    <w:rsid w:val="5D1B22F7"/>
    <w:rsid w:val="60AB3B68"/>
    <w:rsid w:val="61A902A4"/>
    <w:rsid w:val="61B754C0"/>
    <w:rsid w:val="64BD2ACA"/>
    <w:rsid w:val="687B7117"/>
    <w:rsid w:val="68A324F9"/>
    <w:rsid w:val="690C064F"/>
    <w:rsid w:val="693B5170"/>
    <w:rsid w:val="6D301E87"/>
    <w:rsid w:val="6F6E2C29"/>
    <w:rsid w:val="6FFC6A05"/>
    <w:rsid w:val="701E7300"/>
    <w:rsid w:val="70C63971"/>
    <w:rsid w:val="71677532"/>
    <w:rsid w:val="71D6433A"/>
    <w:rsid w:val="738E2FE7"/>
    <w:rsid w:val="73A7096F"/>
    <w:rsid w:val="740C1D6B"/>
    <w:rsid w:val="75E91556"/>
    <w:rsid w:val="760072F8"/>
    <w:rsid w:val="76865A7E"/>
    <w:rsid w:val="778B1DFE"/>
    <w:rsid w:val="798B285C"/>
    <w:rsid w:val="7C100E4F"/>
    <w:rsid w:val="7E140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1095</Words>
  <Characters>6243</Characters>
  <Lines>52</Lines>
  <Paragraphs>14</Paragraphs>
  <TotalTime>79</TotalTime>
  <ScaleCrop>false</ScaleCrop>
  <LinksUpToDate>false</LinksUpToDate>
  <CharactersWithSpaces>7324</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2019-08-16T10:20:24Z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