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趣七仙岭" focussize="0,0" recolor="t" r:id="rId5"/>
    </v:background>
  </w:background>
  <w:body>
    <w:p>
      <w:r>
        <w:drawing>
          <wp:anchor distT="0" distB="0" distL="114300" distR="114300" simplePos="0" relativeHeight="251669504" behindDoc="1" locked="0" layoutInCell="1" allowOverlap="1">
            <wp:simplePos x="0" y="0"/>
            <wp:positionH relativeFrom="column">
              <wp:posOffset>-219075</wp:posOffset>
            </wp:positionH>
            <wp:positionV relativeFrom="paragraph">
              <wp:posOffset>-215265</wp:posOffset>
            </wp:positionV>
            <wp:extent cx="7571740" cy="10698480"/>
            <wp:effectExtent l="0" t="0" r="10160" b="7620"/>
            <wp:wrapNone/>
            <wp:docPr id="4" name="图片 4"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7"/>
                    <pic:cNvPicPr>
                      <a:picLocks noChangeAspect="1"/>
                    </pic:cNvPicPr>
                  </pic:nvPicPr>
                  <pic:blipFill>
                    <a:blip r:embed="rId6"/>
                    <a:stretch>
                      <a:fillRect/>
                    </a:stretch>
                  </pic:blipFill>
                  <pic:spPr>
                    <a:xfrm>
                      <a:off x="0" y="0"/>
                      <a:ext cx="7571740" cy="10698480"/>
                    </a:xfrm>
                    <a:prstGeom prst="rect">
                      <a:avLst/>
                    </a:prstGeom>
                  </pic:spPr>
                </pic:pic>
              </a:graphicData>
            </a:graphic>
          </wp:anchor>
        </w:drawing>
      </w:r>
      <w:r>
        <w:drawing>
          <wp:anchor distT="0" distB="0" distL="114300" distR="114300" simplePos="0" relativeHeight="251667456" behindDoc="0" locked="0" layoutInCell="1" allowOverlap="1">
            <wp:simplePos x="0" y="0"/>
            <wp:positionH relativeFrom="column">
              <wp:posOffset>4831080</wp:posOffset>
            </wp:positionH>
            <wp:positionV relativeFrom="paragraph">
              <wp:posOffset>-3651250</wp:posOffset>
            </wp:positionV>
            <wp:extent cx="574675" cy="343535"/>
            <wp:effectExtent l="0" t="0" r="0" b="0"/>
            <wp:wrapNone/>
            <wp:docPr id="8" name="图片 8" descr="0等待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等待标志"/>
                    <pic:cNvPicPr>
                      <a:picLocks noChangeAspect="1"/>
                    </pic:cNvPicPr>
                  </pic:nvPicPr>
                  <pic:blipFill>
                    <a:blip r:embed="rId7"/>
                    <a:stretch>
                      <a:fillRect/>
                    </a:stretch>
                  </pic:blipFill>
                  <pic:spPr>
                    <a:xfrm>
                      <a:off x="0" y="0"/>
                      <a:ext cx="574675" cy="343535"/>
                    </a:xfrm>
                    <a:prstGeom prst="rect">
                      <a:avLst/>
                    </a:prstGeom>
                  </pic:spPr>
                </pic:pic>
              </a:graphicData>
            </a:graphic>
          </wp:anchor>
        </w:drawing>
      </w:r>
    </w:p>
    <w:p>
      <w:r>
        <w:drawing>
          <wp:anchor distT="0" distB="0" distL="114300" distR="114300" simplePos="0" relativeHeight="251661312" behindDoc="0" locked="0" layoutInCell="1" allowOverlap="1">
            <wp:simplePos x="0" y="0"/>
            <wp:positionH relativeFrom="column">
              <wp:posOffset>-215900</wp:posOffset>
            </wp:positionH>
            <wp:positionV relativeFrom="paragraph">
              <wp:posOffset>-207645</wp:posOffset>
            </wp:positionV>
            <wp:extent cx="7555865" cy="10671175"/>
            <wp:effectExtent l="0" t="0" r="6985"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5865" cy="10671175"/>
                    </a:xfrm>
                    <a:prstGeom prst="rect">
                      <a:avLst/>
                    </a:prstGeom>
                  </pic:spPr>
                </pic:pic>
              </a:graphicData>
            </a:graphic>
          </wp:anchor>
        </w:drawing>
      </w:r>
      <w:r>
        <w:rPr>
          <w:rFonts w:hint="eastAsia"/>
        </w:rPr>
        <w:t>全程一线海边酒店海景大床房</w:t>
      </w:r>
    </w:p>
    <w:p>
      <w:r>
        <w:drawing>
          <wp:anchor distT="0" distB="0" distL="114300" distR="114300" simplePos="0" relativeHeight="251656192" behindDoc="0" locked="0" layoutInCell="1" allowOverlap="1">
            <wp:simplePos x="0" y="0"/>
            <wp:positionH relativeFrom="column">
              <wp:posOffset>-215900</wp:posOffset>
            </wp:positionH>
            <wp:positionV relativeFrom="paragraph">
              <wp:posOffset>-213995</wp:posOffset>
            </wp:positionV>
            <wp:extent cx="7572375" cy="10706735"/>
            <wp:effectExtent l="0" t="0" r="9525"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72375" cy="10706735"/>
                    </a:xfrm>
                    <a:prstGeom prst="rect">
                      <a:avLst/>
                    </a:prstGeom>
                  </pic:spPr>
                </pic:pic>
              </a:graphicData>
            </a:graphic>
          </wp:anchor>
        </w:drawing>
      </w:r>
      <w:r>
        <w:br w:type="page"/>
      </w:r>
    </w:p>
    <w:p>
      <w:r>
        <w:drawing>
          <wp:anchor distT="0" distB="0" distL="114300" distR="114300" simplePos="0" relativeHeight="251668480" behindDoc="0" locked="0" layoutInCell="1" allowOverlap="1">
            <wp:simplePos x="0" y="0"/>
            <wp:positionH relativeFrom="column">
              <wp:posOffset>-215900</wp:posOffset>
            </wp:positionH>
            <wp:positionV relativeFrom="paragraph">
              <wp:posOffset>-215900</wp:posOffset>
            </wp:positionV>
            <wp:extent cx="7561580" cy="10687685"/>
            <wp:effectExtent l="0" t="0" r="127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1580" cy="10687685"/>
                    </a:xfrm>
                    <a:prstGeom prst="rect">
                      <a:avLst/>
                    </a:prstGeom>
                  </pic:spPr>
                </pic:pic>
              </a:graphicData>
            </a:graphic>
          </wp:anchor>
        </w:drawing>
      </w:r>
      <w:r>
        <w:br w:type="page"/>
      </w:r>
    </w:p>
    <w:tbl>
      <w:tblPr>
        <w:tblStyle w:val="6"/>
        <w:tblW w:w="11225" w:type="dxa"/>
        <w:jc w:val="center"/>
        <w:tblInd w:w="0" w:type="dxa"/>
        <w:tblLayout w:type="fixed"/>
        <w:tblCellMar>
          <w:top w:w="57" w:type="dxa"/>
          <w:left w:w="57" w:type="dxa"/>
          <w:bottom w:w="57" w:type="dxa"/>
          <w:right w:w="57" w:type="dxa"/>
        </w:tblCellMar>
      </w:tblPr>
      <w:tblGrid>
        <w:gridCol w:w="1863"/>
        <w:gridCol w:w="6478"/>
        <w:gridCol w:w="7"/>
        <w:gridCol w:w="300"/>
        <w:gridCol w:w="2577"/>
      </w:tblGrid>
      <w:tr>
        <w:tblPrEx>
          <w:tblLayout w:type="fixed"/>
          <w:tblCellMar>
            <w:top w:w="57" w:type="dxa"/>
            <w:left w:w="57" w:type="dxa"/>
            <w:bottom w:w="57" w:type="dxa"/>
            <w:right w:w="57" w:type="dxa"/>
          </w:tblCellMar>
        </w:tblPrEx>
        <w:trPr>
          <w:jc w:val="center"/>
        </w:trPr>
        <w:tc>
          <w:tcPr>
            <w:tcW w:w="11225" w:type="dxa"/>
            <w:gridSpan w:val="5"/>
            <w:tcBorders>
              <w:bottom w:val="single" w:color="FFFFFF" w:sz="4" w:space="0"/>
              <w:tl2br w:val="nil"/>
              <w:tr2bl w:val="nil"/>
            </w:tcBorders>
            <w:shd w:val="clear" w:color="auto" w:fill="E60044"/>
          </w:tcPr>
          <w:p>
            <w:pPr>
              <w:jc w:val="center"/>
              <w:rPr>
                <w:rFonts w:ascii="微软雅黑" w:hAnsi="微软雅黑" w:eastAsia="微软雅黑"/>
                <w:b/>
                <w:iCs/>
                <w:color w:val="262626" w:themeColor="text1" w:themeTint="D9"/>
                <w:sz w:val="36"/>
                <w14:textFill>
                  <w14:solidFill>
                    <w14:schemeClr w14:val="tx1">
                      <w14:lumMod w14:val="85000"/>
                      <w14:lumOff w14:val="15000"/>
                    </w14:schemeClr>
                  </w14:solidFill>
                </w14:textFill>
              </w:rPr>
            </w:pPr>
            <w:r>
              <w:rPr>
                <w:rFonts w:hint="eastAsia" w:ascii="微软雅黑" w:hAnsi="微软雅黑" w:eastAsia="微软雅黑"/>
                <w:b/>
                <w:iCs/>
                <w:color w:val="FFFFFF" w:themeColor="background1"/>
                <w:sz w:val="36"/>
                <w14:textFill>
                  <w14:solidFill>
                    <w14:schemeClr w14:val="bg1"/>
                  </w14:solidFill>
                </w14:textFill>
              </w:rPr>
              <w:drawing>
                <wp:anchor distT="0" distB="0" distL="114300" distR="114300" simplePos="0" relativeHeight="251657216" behindDoc="1" locked="0" layoutInCell="1" allowOverlap="1">
                  <wp:simplePos x="0" y="0"/>
                  <wp:positionH relativeFrom="column">
                    <wp:posOffset>-30480</wp:posOffset>
                  </wp:positionH>
                  <wp:positionV relativeFrom="paragraph">
                    <wp:posOffset>-30480</wp:posOffset>
                  </wp:positionV>
                  <wp:extent cx="7127875" cy="469265"/>
                  <wp:effectExtent l="0" t="0" r="15875" b="6985"/>
                  <wp:wrapNone/>
                  <wp:docPr id="2" name="图片 2" descr="趣七仙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趣七仙岭"/>
                          <pic:cNvPicPr>
                            <a:picLocks noChangeAspect="1"/>
                          </pic:cNvPicPr>
                        </pic:nvPicPr>
                        <pic:blipFill>
                          <a:blip r:embed="rId11"/>
                          <a:stretch>
                            <a:fillRect/>
                          </a:stretch>
                        </pic:blipFill>
                        <pic:spPr>
                          <a:xfrm>
                            <a:off x="0" y="0"/>
                            <a:ext cx="7127875" cy="469265"/>
                          </a:xfrm>
                          <a:prstGeom prst="rect">
                            <a:avLst/>
                          </a:prstGeom>
                        </pic:spPr>
                      </pic:pic>
                    </a:graphicData>
                  </a:graphic>
                </wp:anchor>
              </w:drawing>
            </w:r>
            <w:r>
              <w:rPr>
                <w:rFonts w:hint="eastAsia" w:ascii="微软雅黑" w:hAnsi="微软雅黑" w:eastAsia="微软雅黑"/>
                <w:b/>
                <w:iCs/>
                <w:color w:val="FFFFFF" w:themeColor="background1"/>
                <w:sz w:val="36"/>
                <w14:textFill>
                  <w14:solidFill>
                    <w14:schemeClr w14:val="bg1"/>
                  </w14:solidFill>
                </w14:textFill>
              </w:rPr>
              <w:t>海岛蜜语</w:t>
            </w:r>
          </w:p>
        </w:tc>
      </w:tr>
      <w:tr>
        <w:tblPrEx>
          <w:tblLayout w:type="fixed"/>
          <w:tblCellMar>
            <w:top w:w="57" w:type="dxa"/>
            <w:left w:w="57" w:type="dxa"/>
            <w:bottom w:w="57" w:type="dxa"/>
            <w:right w:w="57" w:type="dxa"/>
          </w:tblCellMar>
        </w:tblPrEx>
        <w:trPr>
          <w:trHeight w:val="446" w:hRule="atLeast"/>
          <w:jc w:val="center"/>
        </w:trPr>
        <w:tc>
          <w:tcPr>
            <w:tcW w:w="8348" w:type="dxa"/>
            <w:gridSpan w:val="3"/>
            <w:tcBorders>
              <w:top w:val="single" w:color="FFFFFF" w:sz="4" w:space="0"/>
              <w:left w:val="single" w:color="FFFFFF" w:sz="4" w:space="0"/>
              <w:bottom w:val="single" w:color="C00000" w:sz="4" w:space="0"/>
              <w:right w:val="single" w:color="FFFFFF" w:sz="4" w:space="0"/>
              <w:tl2br w:val="nil"/>
              <w:tr2bl w:val="nil"/>
            </w:tcBorders>
            <w:shd w:val="clear" w:color="auto" w:fill="auto"/>
            <w:vAlign w:val="center"/>
          </w:tcPr>
          <w:p>
            <w:pPr>
              <w:jc w:val="left"/>
              <w:rPr>
                <w:color w:val="E60044"/>
              </w:rPr>
            </w:pPr>
            <w:r>
              <w:rPr>
                <w:rFonts w:hint="eastAsia" w:ascii="宋体" w:hAnsi="宋体"/>
                <w:b/>
                <w:color w:val="E60044"/>
                <w:sz w:val="28"/>
                <w:szCs w:val="28"/>
              </w:rPr>
              <w:t>行程安排</w:t>
            </w:r>
          </w:p>
        </w:tc>
        <w:tc>
          <w:tcPr>
            <w:tcW w:w="300" w:type="dxa"/>
            <w:tcBorders>
              <w:top w:val="single" w:color="FFFFFF" w:sz="4" w:space="0"/>
              <w:left w:val="single" w:color="FFFFFF" w:sz="4" w:space="0"/>
              <w:bottom w:val="single" w:color="FFFFFF" w:sz="4" w:space="0"/>
              <w:right w:val="single" w:color="FFFFFF" w:sz="4" w:space="0"/>
              <w:tl2br w:val="nil"/>
              <w:tr2bl w:val="nil"/>
            </w:tcBorders>
            <w:shd w:val="clear" w:color="auto" w:fill="auto"/>
            <w:vAlign w:val="center"/>
          </w:tcPr>
          <w:p>
            <w:pPr>
              <w:jc w:val="left"/>
              <w:rPr>
                <w:rFonts w:ascii="宋体" w:hAnsi="宋体"/>
                <w:b/>
                <w:color w:val="C00000"/>
                <w:sz w:val="28"/>
                <w:szCs w:val="28"/>
              </w:rPr>
            </w:pPr>
          </w:p>
        </w:tc>
        <w:tc>
          <w:tcPr>
            <w:tcW w:w="2577" w:type="dxa"/>
            <w:tcBorders>
              <w:top w:val="single" w:color="FFFFFF" w:sz="4" w:space="0"/>
              <w:left w:val="single" w:color="FFFFFF" w:sz="4" w:space="0"/>
              <w:bottom w:val="single" w:color="C00000" w:sz="4" w:space="0"/>
              <w:right w:val="single" w:color="FFFFFF" w:sz="4" w:space="0"/>
              <w:tl2br w:val="nil"/>
              <w:tr2bl w:val="nil"/>
            </w:tcBorders>
            <w:shd w:val="clear" w:color="auto" w:fill="auto"/>
            <w:vAlign w:val="center"/>
          </w:tcPr>
          <w:p>
            <w:pPr>
              <w:jc w:val="left"/>
              <w:rPr>
                <w:rFonts w:ascii="宋体" w:hAnsi="宋体"/>
                <w:b/>
                <w:color w:val="E60044"/>
                <w:sz w:val="28"/>
                <w:szCs w:val="28"/>
              </w:rPr>
            </w:pPr>
            <w:r>
              <w:rPr>
                <w:rFonts w:hint="eastAsia" w:ascii="宋体" w:hAnsi="宋体"/>
                <w:b/>
                <w:color w:val="E60044"/>
                <w:sz w:val="28"/>
                <w:szCs w:val="28"/>
              </w:rPr>
              <w:t>路线特色</w:t>
            </w:r>
          </w:p>
        </w:tc>
      </w:tr>
      <w:tr>
        <w:tblPrEx>
          <w:tblLayout w:type="fixed"/>
          <w:tblCellMar>
            <w:top w:w="57" w:type="dxa"/>
            <w:left w:w="57" w:type="dxa"/>
            <w:bottom w:w="57" w:type="dxa"/>
            <w:right w:w="57" w:type="dxa"/>
          </w:tblCellMar>
        </w:tblPrEx>
        <w:trPr>
          <w:trHeight w:val="246" w:hRule="atLeast"/>
          <w:jc w:val="center"/>
        </w:trPr>
        <w:tc>
          <w:tcPr>
            <w:tcW w:w="1863" w:type="dxa"/>
            <w:tcBorders>
              <w:top w:val="single" w:color="FFFFFF"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eastAsia="宋体"/>
                <w:b/>
                <w:bCs/>
                <w:color w:val="262626" w:themeColor="text1" w:themeTint="D9"/>
                <w:szCs w:val="21"/>
                <w14:textFill>
                  <w14:solidFill>
                    <w14:schemeClr w14:val="tx1">
                      <w14:lumMod w14:val="85000"/>
                      <w14:lumOff w14:val="15000"/>
                    </w14:schemeClr>
                  </w14:solidFill>
                </w14:textFill>
              </w:rPr>
            </w:pPr>
            <w:r>
              <w:rPr>
                <w:rFonts w:hint="eastAsia"/>
                <w:b/>
                <w:bCs/>
                <w:color w:val="262626" w:themeColor="text1" w:themeTint="D9"/>
                <w:szCs w:val="21"/>
                <w14:textFill>
                  <w14:solidFill>
                    <w14:schemeClr w14:val="tx1">
                      <w14:lumMod w14:val="85000"/>
                      <w14:lumOff w14:val="15000"/>
                    </w14:schemeClr>
                  </w14:solidFill>
                </w14:textFill>
              </w:rPr>
              <w:t>天数</w:t>
            </w:r>
          </w:p>
        </w:tc>
        <w:tc>
          <w:tcPr>
            <w:tcW w:w="6478"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ascii="宋体" w:hAnsi="宋体" w:eastAsia="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color w:val="262626" w:themeColor="text1" w:themeTint="D9"/>
                <w:szCs w:val="21"/>
                <w14:textFill>
                  <w14:solidFill>
                    <w14:schemeClr w14:val="tx1">
                      <w14:lumMod w14:val="85000"/>
                      <w14:lumOff w14:val="15000"/>
                    </w14:schemeClr>
                  </w14:solidFill>
                </w14:textFill>
              </w:rPr>
              <w:t>细化行程</w:t>
            </w:r>
          </w:p>
        </w:tc>
        <w:tc>
          <w:tcPr>
            <w:tcW w:w="307" w:type="dxa"/>
            <w:gridSpan w:val="2"/>
            <w:vMerge w:val="restart"/>
            <w:tcBorders>
              <w:top w:val="single" w:color="FFFFFF" w:sz="4" w:space="0"/>
              <w:left w:val="single" w:color="FFFFFF" w:sz="4" w:space="0"/>
              <w:bottom w:val="single" w:color="FFFFFF" w:sz="4" w:space="0"/>
              <w:right w:val="single" w:color="FFFFFF" w:sz="4" w:space="0"/>
            </w:tcBorders>
            <w:shd w:val="clear" w:color="auto" w:fill="auto"/>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p>
        </w:tc>
        <w:tc>
          <w:tcPr>
            <w:tcW w:w="2577" w:type="dxa"/>
            <w:vMerge w:val="restart"/>
            <w:tcBorders>
              <w:top w:val="single" w:color="FFFFFF" w:sz="4" w:space="0"/>
              <w:left w:val="single" w:color="FFFFFF" w:sz="4" w:space="0"/>
              <w:right w:val="single" w:color="FFFFFF" w:sz="4" w:space="0"/>
            </w:tcBorders>
            <w:shd w:val="clear" w:color="auto" w:fill="auto"/>
          </w:tcPr>
          <w:p>
            <w:pPr>
              <w:spacing w:before="93" w:beforeLines="30"/>
              <w:rPr>
                <w:rFonts w:ascii="Arial" w:hAnsi="Arial" w:cs="Arial"/>
                <w:b/>
                <w:bCs/>
                <w:color w:val="E60044"/>
                <w:szCs w:val="21"/>
              </w:rPr>
            </w:pPr>
            <w:r>
              <w:rPr>
                <w:rFonts w:hint="eastAsia" w:ascii="Arial" w:hAnsi="Arial" w:cs="Arial"/>
                <w:b/>
                <w:bCs/>
                <w:color w:val="E60044"/>
                <w:szCs w:val="21"/>
              </w:rPr>
              <w:t>甜蜜住宿：</w:t>
            </w:r>
          </w:p>
          <w:p>
            <w:pPr>
              <w:spacing w:line="280" w:lineRule="exact"/>
              <w:rPr>
                <w:rFonts w:ascii="宋体" w:hAnsi="宋体"/>
                <w:sz w:val="20"/>
                <w:szCs w:val="20"/>
              </w:rPr>
            </w:pPr>
            <w:r>
              <w:rPr>
                <w:rFonts w:hint="eastAsia" w:ascii="宋体" w:hAnsi="宋体"/>
                <w:sz w:val="18"/>
                <w:szCs w:val="18"/>
              </w:rPr>
              <w:t>全程一线海边酒店海景大床房，1晚升级水中奇迹·亚特兰蒂斯</w:t>
            </w:r>
            <w:r>
              <w:rPr>
                <w:rFonts w:hint="eastAsia" w:ascii="宋体" w:hAnsi="宋体"/>
                <w:sz w:val="20"/>
                <w:szCs w:val="20"/>
              </w:rPr>
              <w:t>；</w:t>
            </w:r>
          </w:p>
          <w:p>
            <w:pPr>
              <w:spacing w:line="280" w:lineRule="exact"/>
              <w:rPr>
                <w:rFonts w:ascii="Arial" w:hAnsi="Arial" w:cs="Arial"/>
                <w:b/>
                <w:bCs/>
                <w:color w:val="C00000"/>
                <w:szCs w:val="21"/>
              </w:rPr>
            </w:pPr>
          </w:p>
          <w:p>
            <w:pPr>
              <w:spacing w:line="280" w:lineRule="exact"/>
              <w:rPr>
                <w:rFonts w:ascii="Arial" w:hAnsi="Arial" w:cs="Arial"/>
                <w:b/>
                <w:bCs/>
                <w:color w:val="E60044"/>
                <w:szCs w:val="21"/>
              </w:rPr>
            </w:pPr>
            <w:r>
              <w:rPr>
                <w:rFonts w:hint="eastAsia" w:ascii="Arial" w:hAnsi="Arial" w:cs="Arial"/>
                <w:b/>
                <w:bCs/>
                <w:color w:val="E60044"/>
                <w:szCs w:val="21"/>
              </w:rPr>
              <w:t>私人定制：</w:t>
            </w:r>
          </w:p>
          <w:p>
            <w:pPr>
              <w:spacing w:line="280" w:lineRule="exact"/>
              <w:rPr>
                <w:rFonts w:asciiTheme="minorEastAsia" w:hAnsiTheme="minorEastAsia"/>
                <w:sz w:val="18"/>
                <w:szCs w:val="18"/>
              </w:rPr>
            </w:pPr>
            <w:r>
              <w:rPr>
                <w:rFonts w:hint="eastAsia" w:ascii="Arial" w:hAnsi="Arial" w:cs="Arial"/>
                <w:bCs/>
                <w:sz w:val="18"/>
                <w:szCs w:val="18"/>
              </w:rPr>
              <w:t>亚特兰蒂斯水上公园、亚特兰蒂斯水族馆免费无限次畅玩</w:t>
            </w:r>
            <w:r>
              <w:rPr>
                <w:rFonts w:hint="eastAsia" w:asciiTheme="minorEastAsia" w:hAnsiTheme="minorEastAsia"/>
                <w:sz w:val="18"/>
                <w:szCs w:val="18"/>
              </w:rPr>
              <w:t>；</w:t>
            </w:r>
          </w:p>
          <w:p>
            <w:pPr>
              <w:spacing w:line="280" w:lineRule="exact"/>
              <w:rPr>
                <w:rFonts w:cs="Arial" w:asciiTheme="minorEastAsia" w:hAnsiTheme="minorEastAsia"/>
                <w:b/>
                <w:bCs/>
                <w:color w:val="C00000"/>
                <w:szCs w:val="21"/>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恋之美味：</w:t>
            </w:r>
          </w:p>
          <w:p>
            <w:pPr>
              <w:rPr>
                <w:rFonts w:ascii="宋体" w:hAnsi="宋体"/>
                <w:sz w:val="18"/>
                <w:szCs w:val="18"/>
              </w:rPr>
            </w:pPr>
            <w:r>
              <w:rPr>
                <w:rFonts w:hint="eastAsia" w:ascii="宋体" w:hAnsi="宋体"/>
                <w:sz w:val="18"/>
                <w:szCs w:val="18"/>
              </w:rPr>
              <w:t xml:space="preserve">正餐标30元/人/餐，升级 </w:t>
            </w: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“蟹鲍海鲜餐1份/人”、</w:t>
            </w:r>
            <w:r>
              <w:rPr>
                <w:rFonts w:hint="eastAsia" w:ascii="宋体" w:hAnsi="宋体"/>
                <w:sz w:val="18"/>
                <w:szCs w:val="18"/>
              </w:rPr>
              <w:t>“波隆野菜自助餐”各1次；</w:t>
            </w:r>
          </w:p>
          <w:p>
            <w:pPr>
              <w:spacing w:line="280" w:lineRule="exact"/>
              <w:rPr>
                <w:rFonts w:cs="Arial" w:asciiTheme="minorEastAsia" w:hAnsiTheme="minorEastAsia"/>
                <w:b/>
                <w:bCs/>
                <w:color w:val="C00000"/>
                <w:szCs w:val="21"/>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蜜语路线：</w:t>
            </w:r>
          </w:p>
          <w:p>
            <w:pPr>
              <w:rPr>
                <w:rFonts w:ascii="宋体" w:hAnsi="宋体"/>
                <w:sz w:val="18"/>
                <w:szCs w:val="18"/>
              </w:rPr>
            </w:pPr>
            <w:r>
              <w:rPr>
                <w:rFonts w:hint="eastAsia" w:ascii="宋体" w:hAnsi="宋体"/>
                <w:sz w:val="18"/>
                <w:szCs w:val="18"/>
              </w:rPr>
              <w:t>5A蜈支洲岛、5A槟榔谷、4A亚龙湾热带天堂森林公园、赠海景摩天轮；</w:t>
            </w:r>
          </w:p>
          <w:p>
            <w:pPr>
              <w:rPr>
                <w:rFonts w:asciiTheme="minorEastAsia" w:hAnsiTheme="minorEastAsia"/>
                <w:sz w:val="18"/>
                <w:szCs w:val="18"/>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美好相伴：</w:t>
            </w:r>
          </w:p>
          <w:p>
            <w:pPr>
              <w:rPr>
                <w:rFonts w:ascii="宋体" w:hAnsi="宋体"/>
                <w:sz w:val="18"/>
                <w:szCs w:val="18"/>
              </w:rPr>
            </w:pPr>
            <w:r>
              <w:rPr>
                <w:rFonts w:hint="eastAsia" w:ascii="宋体" w:hAnsi="宋体"/>
                <w:sz w:val="18"/>
                <w:szCs w:val="18"/>
              </w:rPr>
              <w:t>情感专家品牌组导游全程服务，体验后才能知道—这样的跟团旅行物超所值；</w:t>
            </w:r>
          </w:p>
          <w:p>
            <w:pPr>
              <w:spacing w:line="280" w:lineRule="exact"/>
              <w:rPr>
                <w:rFonts w:ascii="宋体" w:hAnsi="宋体"/>
                <w:sz w:val="20"/>
                <w:szCs w:val="20"/>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接待诚诺：</w:t>
            </w:r>
          </w:p>
          <w:p>
            <w:pPr>
              <w:rPr>
                <w:rFonts w:ascii="宋体" w:hAnsi="宋体"/>
                <w:sz w:val="18"/>
                <w:szCs w:val="18"/>
              </w:rPr>
            </w:pPr>
            <w:r>
              <w:rPr>
                <w:rFonts w:hint="eastAsia" w:ascii="宋体" w:hAnsi="宋体"/>
                <w:sz w:val="18"/>
                <w:szCs w:val="18"/>
              </w:rPr>
              <w:t>0购物+0自费：</w:t>
            </w:r>
          </w:p>
          <w:p>
            <w:pPr>
              <w:rPr>
                <w:rFonts w:ascii="Arial" w:hAnsi="Arial" w:cs="Arial"/>
                <w:b/>
                <w:bCs/>
                <w:color w:val="C00000"/>
                <w:szCs w:val="21"/>
                <w:highlight w:val="yellow"/>
              </w:rPr>
            </w:pPr>
            <w:r>
              <w:rPr>
                <w:rFonts w:hint="eastAsia" w:ascii="宋体" w:hAnsi="宋体"/>
                <w:sz w:val="18"/>
                <w:szCs w:val="18"/>
              </w:rPr>
              <w:t>全程不增加任何自费景点和购物店，不更换景点，不压缩游览时间，违约赔付2000元/人。</w:t>
            </w:r>
          </w:p>
        </w:tc>
      </w:tr>
      <w:tr>
        <w:tblPrEx>
          <w:tblLayout w:type="fixed"/>
          <w:tblCellMar>
            <w:top w:w="57" w:type="dxa"/>
            <w:left w:w="57" w:type="dxa"/>
            <w:bottom w:w="57" w:type="dxa"/>
            <w:right w:w="57" w:type="dxa"/>
          </w:tblCellMar>
        </w:tblPrEx>
        <w:trPr>
          <w:trHeight w:val="1271" w:hRule="atLeast"/>
          <w:jc w:val="center"/>
        </w:trPr>
        <w:tc>
          <w:tcPr>
            <w:tcW w:w="1863" w:type="dxa"/>
            <w:tcBorders>
              <w:top w:val="single" w:color="FFFFFF" w:sz="4" w:space="0"/>
              <w:left w:val="single" w:color="FFFFFF" w:sz="4" w:space="0"/>
              <w:bottom w:val="single" w:color="F1D2C2" w:sz="6"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D1</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出发地 &gt;&gt; 三亚</w:t>
            </w:r>
          </w:p>
        </w:tc>
        <w:tc>
          <w:tcPr>
            <w:tcW w:w="6478" w:type="dxa"/>
            <w:tcBorders>
              <w:bottom w:val="single" w:color="D8D8D8" w:themeColor="background1" w:themeShade="D9" w:sz="6" w:space="0"/>
            </w:tcBorders>
            <w:shd w:val="clear" w:color="auto" w:fill="auto"/>
            <w:vAlign w:val="center"/>
          </w:tcPr>
          <w:p>
            <w:pPr>
              <w:spacing w:before="93" w:beforeLines="30" w:after="93" w:afterLines="30"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乘机抵达美丽海南岛，工作人员将在出口迎接您的到来，沿途欣赏海岛美景，回酒店休息，期待明天的精彩旅程。</w:t>
            </w:r>
          </w:p>
          <w:p>
            <w:pPr>
              <w:spacing w:before="93" w:beforeLines="30" w:after="93" w:afterLines="30"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C00000"/>
                <w:sz w:val="18"/>
                <w:szCs w:val="18"/>
              </w:rPr>
              <w:t>住宿安排：</w:t>
            </w:r>
            <w:r>
              <w:rPr>
                <w:rFonts w:hint="eastAsia"/>
                <w:sz w:val="18"/>
                <w:szCs w:val="18"/>
              </w:rPr>
              <w:t>指定酒店</w:t>
            </w:r>
          </w:p>
          <w:p>
            <w:pPr>
              <w:spacing w:before="93" w:beforeLines="30" w:after="93" w:afterLines="30"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C00000"/>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敬请自理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tcPr>
          <w:p>
            <w:pPr>
              <w:spacing w:after="156" w:afterLines="50" w:line="280" w:lineRule="exact"/>
              <w:rPr>
                <w:rFonts w:ascii="宋体" w:hAnsi="宋体"/>
                <w:color w:val="C00000"/>
                <w:sz w:val="18"/>
                <w:szCs w:val="18"/>
              </w:rPr>
            </w:pPr>
          </w:p>
        </w:tc>
      </w:tr>
      <w:tr>
        <w:tblPrEx>
          <w:tblLayout w:type="fixed"/>
          <w:tblCellMar>
            <w:top w:w="57" w:type="dxa"/>
            <w:left w:w="57" w:type="dxa"/>
            <w:bottom w:w="57" w:type="dxa"/>
            <w:right w:w="57" w:type="dxa"/>
          </w:tblCellMar>
        </w:tblPrEx>
        <w:trPr>
          <w:trHeight w:val="2673" w:hRule="atLeast"/>
          <w:jc w:val="center"/>
        </w:trPr>
        <w:tc>
          <w:tcPr>
            <w:tcW w:w="1863" w:type="dxa"/>
            <w:tcBorders>
              <w:top w:val="single" w:color="F1D2C2" w:sz="6" w:space="0"/>
              <w:left w:val="single" w:color="FFFFFF" w:sz="4" w:space="0"/>
              <w:bottom w:val="single" w:color="F1D2C2" w:sz="6"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D2</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8D8D8" w:themeColor="background1" w:themeShade="D9" w:sz="6" w:space="0"/>
              <w:bottom w:val="single" w:color="D8D8D8" w:themeColor="background1" w:themeShade="D9" w:sz="6" w:space="0"/>
            </w:tcBorders>
            <w:shd w:val="clear" w:color="auto" w:fill="auto"/>
            <w:vAlign w:val="center"/>
          </w:tcPr>
          <w:p>
            <w:pPr>
              <w:spacing w:before="62" w:beforeLines="20" w:after="62" w:afterLines="20" w:line="260" w:lineRule="exact"/>
              <w:rPr>
                <w:b/>
                <w:bCs/>
                <w:color w:val="E60044"/>
                <w:sz w:val="18"/>
                <w:szCs w:val="18"/>
              </w:rPr>
            </w:pPr>
            <w:r>
              <w:rPr>
                <w:rFonts w:hint="eastAsia"/>
                <w:color w:val="E60044"/>
                <w:sz w:val="18"/>
                <w:szCs w:val="18"/>
              </w:rPr>
              <w:t>景点安排：</w:t>
            </w:r>
            <w:r>
              <w:rPr>
                <w:rFonts w:hint="eastAsia"/>
                <w:b/>
                <w:bCs/>
                <w:color w:val="E60044"/>
                <w:sz w:val="18"/>
                <w:szCs w:val="18"/>
              </w:rPr>
              <w:t>蜈支洲岛—</w:t>
            </w:r>
            <w:r>
              <w:rPr>
                <w:rFonts w:hint="eastAsia"/>
                <w:b/>
                <w:color w:val="E60044"/>
                <w:sz w:val="18"/>
                <w:szCs w:val="18"/>
                <w:lang w:val="zh-TW"/>
              </w:rPr>
              <w:t>三亚国际免税城</w:t>
            </w:r>
          </w:p>
          <w:p>
            <w:pPr>
              <w:pStyle w:val="5"/>
              <w:spacing w:before="62" w:beforeLines="20" w:beforeAutospacing="0" w:after="62" w:afterLines="20" w:afterAutospacing="0" w:line="260" w:lineRule="exact"/>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【蜈支洲岛】：</w:t>
            </w:r>
            <w:r>
              <w:rPr>
                <w:rFonts w:hint="eastAsia"/>
                <w:color w:val="262626" w:themeColor="text1" w:themeTint="D9"/>
                <w:sz w:val="18"/>
                <w:szCs w:val="18"/>
                <w14:textFill>
                  <w14:solidFill>
                    <w14:schemeClr w14:val="tx1">
                      <w14:lumMod w14:val="85000"/>
                      <w14:lumOff w14:val="15000"/>
                    </w14:schemeClr>
                  </w14:solidFill>
                </w14:textFill>
              </w:rPr>
              <w:t>（游览时间不少于240分钟，含上下岛时间，海上项目自理）国家5A级海岛，集丰富性与独特性于一体。沙质洁白细腻、海域清澈透明，海水能见度6—27米。30余项海上和潜水娱乐项目（自费），给前来观光和度假的旅游者带来原始、静谧、浪漫和 动感时尚的休闲体验。</w:t>
            </w:r>
          </w:p>
          <w:p>
            <w:pPr>
              <w:spacing w:before="62" w:beforeLines="20" w:after="62" w:afterLines="20" w:line="260" w:lineRule="exact"/>
            </w:pPr>
            <w:r>
              <w:rPr>
                <w:rFonts w:hint="eastAsia"/>
                <w:b/>
                <w:bCs/>
                <w:sz w:val="18"/>
                <w:szCs w:val="18"/>
                <w:lang w:val="zh-TW"/>
              </w:rPr>
              <w:t>【三亚国际免税城】：</w:t>
            </w:r>
            <w:r>
              <w:rPr>
                <w:rFonts w:hint="eastAsia"/>
                <w:color w:val="262626" w:themeColor="text1" w:themeTint="D9"/>
                <w:sz w:val="18"/>
                <w:szCs w:val="18"/>
                <w14:textFill>
                  <w14:solidFill>
                    <w14:schemeClr w14:val="tx1">
                      <w14:lumMod w14:val="85000"/>
                      <w14:lumOff w14:val="15000"/>
                    </w14:schemeClr>
                  </w14:solidFill>
                </w14:textFill>
              </w:rPr>
              <w:t>（游览时间不少于90分钟）</w:t>
            </w:r>
            <w:r>
              <w:rPr>
                <w:rFonts w:hint="eastAsia"/>
                <w:sz w:val="18"/>
                <w:szCs w:val="18"/>
                <w:lang w:val="zh-TW"/>
              </w:rPr>
              <w:t>作为三亚新地标，聚集了香奈儿、兰蔻、阿玛尼等多种国际名品和丰盛美食，可充分享受国际旅游岛离岛免税政策带来的极大实惠与便利。</w:t>
            </w:r>
            <w:r>
              <w:rPr>
                <w:rFonts w:hint="eastAsia"/>
              </w:rPr>
              <w:t xml:space="preserve"> </w:t>
            </w:r>
          </w:p>
          <w:p>
            <w:pPr>
              <w:spacing w:before="62" w:beforeLines="20" w:after="62" w:afterLines="20" w:line="260" w:lineRule="exact"/>
              <w:rPr>
                <w:sz w:val="18"/>
                <w:szCs w:val="18"/>
              </w:rPr>
            </w:pPr>
            <w:r>
              <w:rPr>
                <w:rFonts w:hint="eastAsia" w:ascii="宋体" w:hAnsi="宋体"/>
                <w:color w:val="C00000"/>
                <w:sz w:val="18"/>
                <w:szCs w:val="18"/>
              </w:rPr>
              <w:t>住宿安排：</w:t>
            </w:r>
            <w:r>
              <w:rPr>
                <w:rFonts w:hint="eastAsia"/>
                <w:sz w:val="18"/>
                <w:szCs w:val="18"/>
              </w:rPr>
              <w:t>指定酒店</w:t>
            </w:r>
          </w:p>
          <w:p>
            <w:pPr>
              <w:spacing w:before="62" w:beforeLines="20" w:after="62" w:afterLines="20" w:line="260" w:lineRule="exact"/>
              <w:rPr>
                <w:b/>
                <w:bCs/>
                <w:color w:val="262626" w:themeColor="text1" w:themeTint="D9"/>
                <w:szCs w:val="21"/>
                <w14:textFill>
                  <w14:solidFill>
                    <w14:schemeClr w14:val="tx1">
                      <w14:lumMod w14:val="85000"/>
                      <w14:lumOff w14:val="15000"/>
                    </w14:schemeClr>
                  </w14:solidFill>
                </w14:textFill>
              </w:rPr>
            </w:pPr>
            <w:r>
              <w:rPr>
                <w:rFonts w:hint="eastAsia" w:ascii="宋体" w:hAnsi="宋体"/>
                <w:color w:val="C00000"/>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中餐：自理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449" w:hRule="atLeast"/>
          <w:jc w:val="center"/>
        </w:trPr>
        <w:tc>
          <w:tcPr>
            <w:tcW w:w="1863" w:type="dxa"/>
            <w:tcBorders>
              <w:top w:val="single" w:color="F1D2C2" w:sz="6" w:space="0"/>
              <w:left w:val="single" w:color="FFFFFF" w:sz="4" w:space="0"/>
              <w:bottom w:val="single" w:color="F1D2C2" w:sz="6"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D3</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8D8D8" w:themeColor="background1" w:themeShade="D9" w:sz="6" w:space="0"/>
              <w:bottom w:val="single" w:color="D8D8D8" w:themeColor="background1" w:themeShade="D9" w:sz="6" w:space="0"/>
            </w:tcBorders>
            <w:shd w:val="clear" w:color="auto" w:fill="auto"/>
            <w:vAlign w:val="center"/>
          </w:tcPr>
          <w:p>
            <w:pPr>
              <w:spacing w:before="62" w:beforeLines="20" w:after="62" w:afterLines="20" w:line="260" w:lineRule="exact"/>
              <w:rPr>
                <w:b/>
                <w:bCs/>
                <w:color w:val="E60044"/>
                <w:sz w:val="18"/>
                <w:szCs w:val="18"/>
              </w:rPr>
            </w:pPr>
            <w:r>
              <w:rPr>
                <w:rFonts w:hint="eastAsia"/>
                <w:color w:val="E60044"/>
                <w:sz w:val="18"/>
                <w:szCs w:val="18"/>
              </w:rPr>
              <w:t>景点安排：</w:t>
            </w:r>
            <w:r>
              <w:rPr>
                <w:rFonts w:hint="eastAsia"/>
                <w:b/>
                <w:color w:val="E60044"/>
                <w:sz w:val="18"/>
                <w:szCs w:val="18"/>
              </w:rPr>
              <w:t>槟榔谷—</w:t>
            </w:r>
            <w:r>
              <w:rPr>
                <w:rFonts w:hint="eastAsia"/>
                <w:b/>
                <w:bCs/>
                <w:color w:val="E60044"/>
                <w:sz w:val="18"/>
                <w:szCs w:val="18"/>
                <w:lang w:val="zh-TW"/>
              </w:rPr>
              <w:t>亚龙湾热带天堂森林公园</w:t>
            </w:r>
            <w:r>
              <w:rPr>
                <w:rFonts w:hint="eastAsia"/>
                <w:b/>
                <w:color w:val="E60044"/>
                <w:sz w:val="18"/>
                <w:szCs w:val="18"/>
              </w:rPr>
              <w:t>—赠海景摩天轮</w:t>
            </w:r>
          </w:p>
          <w:p>
            <w:pPr>
              <w:spacing w:before="62" w:beforeLines="20" w:after="62" w:afterLines="20" w:line="260" w:lineRule="exact"/>
              <w:rPr>
                <w:rFonts w:asciiTheme="minorEastAsia" w:hAnsiTheme="minorEastAsia"/>
                <w:bCs/>
                <w:sz w:val="18"/>
                <w:szCs w:val="18"/>
              </w:rPr>
            </w:pPr>
            <w:r>
              <w:rPr>
                <w:rFonts w:hint="eastAsia" w:asciiTheme="minorEastAsia" w:hAnsiTheme="minorEastAsia"/>
                <w:b/>
                <w:bCs/>
                <w:sz w:val="18"/>
                <w:szCs w:val="18"/>
              </w:rPr>
              <w:t>【槟榔谷黎苗文化旅游景区】：</w:t>
            </w:r>
            <w:r>
              <w:rPr>
                <w:rFonts w:hint="eastAsia" w:asciiTheme="minorEastAsia" w:hAnsiTheme="minorEastAsia"/>
                <w:bCs/>
                <w:sz w:val="18"/>
                <w:szCs w:val="18"/>
              </w:rPr>
              <w:t>（游览时间不少于120分钟）中国首家民族文化型5A级景区，海南民族文化的“活化石”，婀娜多姿的槟榔林海，置身于古木参天、藤蔓交织的热带雨林中。</w:t>
            </w:r>
          </w:p>
          <w:p>
            <w:pPr>
              <w:spacing w:before="62" w:beforeLines="20" w:after="62" w:afterLines="20" w:line="260" w:lineRule="exact"/>
              <w:rPr>
                <w:rFonts w:asciiTheme="minorEastAsia" w:hAnsiTheme="minorEastAsia"/>
                <w:b/>
                <w:bCs/>
                <w:sz w:val="18"/>
                <w:szCs w:val="18"/>
              </w:rPr>
            </w:pPr>
            <w:r>
              <w:rPr>
                <w:rFonts w:hint="eastAsia" w:asciiTheme="minorEastAsia" w:hAnsiTheme="minorEastAsia"/>
                <w:bCs/>
                <w:sz w:val="18"/>
                <w:szCs w:val="18"/>
              </w:rPr>
              <w:t>午餐享用波隆野菜自助餐，别具特色的本土风味。</w:t>
            </w:r>
          </w:p>
          <w:p>
            <w:pPr>
              <w:spacing w:before="62" w:beforeLines="20" w:after="62" w:afterLines="20" w:line="260" w:lineRule="exact"/>
              <w:rPr>
                <w:rFonts w:asciiTheme="minorEastAsia" w:hAnsiTheme="minorEastAsia"/>
                <w:sz w:val="18"/>
                <w:szCs w:val="18"/>
              </w:rPr>
            </w:pPr>
            <w:r>
              <w:rPr>
                <w:rFonts w:hint="eastAsia" w:asciiTheme="minorEastAsia" w:hAnsiTheme="minorEastAsia"/>
                <w:b/>
                <w:bCs/>
                <w:sz w:val="18"/>
                <w:szCs w:val="18"/>
              </w:rPr>
              <w:t>【亚龙湾热带天堂森林公园】：</w:t>
            </w:r>
            <w:r>
              <w:rPr>
                <w:rFonts w:hint="eastAsia" w:asciiTheme="minorEastAsia" w:hAnsiTheme="minorEastAsia"/>
                <w:sz w:val="18"/>
                <w:szCs w:val="18"/>
              </w:rPr>
              <w:t>（游览不少于120分钟）“面朝大海，背靠青山，四季花开。” 三亚的天然大氧吧，拥有良好的热带雨林生态资源，景区内美丽的自然风光占据了冯小刚著名电影《非诚勿扰2》三分之二以上镜头，成为情侣们公认的爱情圣地，至今热度不减。</w:t>
            </w:r>
          </w:p>
          <w:p>
            <w:pPr>
              <w:spacing w:before="62" w:beforeLines="20" w:after="62" w:afterLines="20" w:line="276" w:lineRule="auto"/>
              <w:rPr>
                <w:b/>
                <w:bCs/>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赠海景摩天轮：</w:t>
            </w:r>
            <w:r>
              <w:rPr>
                <w:rFonts w:hint="eastAsia"/>
                <w:color w:val="262626" w:themeColor="text1" w:themeTint="D9"/>
                <w:sz w:val="18"/>
                <w:szCs w:val="18"/>
                <w14:textFill>
                  <w14:solidFill>
                    <w14:schemeClr w14:val="tx1">
                      <w14:lumMod w14:val="85000"/>
                      <w14:lumOff w14:val="15000"/>
                    </w14:schemeClr>
                  </w14:solidFill>
                </w14:textFill>
              </w:rPr>
              <w:t>中国最南端海上</w:t>
            </w:r>
            <w:r>
              <w:rPr>
                <w:color w:val="262626" w:themeColor="text1" w:themeTint="D9"/>
                <w:sz w:val="18"/>
                <w:szCs w:val="18"/>
                <w14:textFill>
                  <w14:solidFill>
                    <w14:schemeClr w14:val="tx1">
                      <w14:lumMod w14:val="85000"/>
                      <w14:lumOff w14:val="15000"/>
                    </w14:schemeClr>
                  </w14:solidFill>
                </w14:textFill>
              </w:rPr>
              <w:t>88</w:t>
            </w:r>
            <w:r>
              <w:rPr>
                <w:rFonts w:hint="eastAsia"/>
                <w:color w:val="262626" w:themeColor="text1" w:themeTint="D9"/>
                <w:sz w:val="18"/>
                <w:szCs w:val="18"/>
                <w14:textFill>
                  <w14:solidFill>
                    <w14:schemeClr w14:val="tx1">
                      <w14:lumMod w14:val="85000"/>
                      <w14:lumOff w14:val="15000"/>
                    </w14:schemeClr>
                  </w14:solidFill>
                </w14:textFill>
              </w:rPr>
              <w:t>米高的“三亚之眼”，这样的摩天轮，你一定没有体验过，在此尽览</w:t>
            </w:r>
            <w:r>
              <w:rPr>
                <w:color w:val="262626" w:themeColor="text1" w:themeTint="D9"/>
                <w:sz w:val="18"/>
                <w:szCs w:val="18"/>
                <w14:textFill>
                  <w14:solidFill>
                    <w14:schemeClr w14:val="tx1">
                      <w14:lumMod w14:val="85000"/>
                      <w14:lumOff w14:val="15000"/>
                    </w14:schemeClr>
                  </w14:solidFill>
                </w14:textFill>
              </w:rPr>
              <w:t>360</w:t>
            </w:r>
            <w:r>
              <w:rPr>
                <w:rFonts w:hint="eastAsia"/>
                <w:color w:val="262626" w:themeColor="text1" w:themeTint="D9"/>
                <w:sz w:val="18"/>
                <w:szCs w:val="18"/>
                <w14:textFill>
                  <w14:solidFill>
                    <w14:schemeClr w14:val="tx1">
                      <w14:lumMod w14:val="85000"/>
                      <w14:lumOff w14:val="15000"/>
                    </w14:schemeClr>
                  </w14:solidFill>
                </w14:textFill>
              </w:rPr>
              <w:t>°中国最美海岸线吧。</w:t>
            </w:r>
            <w:r>
              <w:rPr>
                <w:rFonts w:hint="eastAsia"/>
                <w:color w:val="262626" w:themeColor="text1" w:themeTint="D9"/>
                <w:sz w:val="18"/>
                <w:szCs w:val="18"/>
                <w:u w:val="single"/>
                <w14:textFill>
                  <w14:solidFill>
                    <w14:schemeClr w14:val="tx1">
                      <w14:lumMod w14:val="85000"/>
                      <w14:lumOff w14:val="15000"/>
                    </w14:schemeClr>
                  </w14:solidFill>
                </w14:textFill>
              </w:rPr>
              <w:t>（身高</w:t>
            </w:r>
            <w:r>
              <w:rPr>
                <w:color w:val="262626" w:themeColor="text1" w:themeTint="D9"/>
                <w:sz w:val="18"/>
                <w:szCs w:val="18"/>
                <w:u w:val="single"/>
                <w14:textFill>
                  <w14:solidFill>
                    <w14:schemeClr w14:val="tx1">
                      <w14:lumMod w14:val="85000"/>
                      <w14:lumOff w14:val="15000"/>
                    </w14:schemeClr>
                  </w14:solidFill>
                </w14:textFill>
              </w:rPr>
              <w:t>1.4</w:t>
            </w:r>
            <w:r>
              <w:rPr>
                <w:rFonts w:hint="eastAsia"/>
                <w:color w:val="262626" w:themeColor="text1" w:themeTint="D9"/>
                <w:sz w:val="18"/>
                <w:szCs w:val="18"/>
                <w:u w:val="single"/>
                <w14:textFill>
                  <w14:solidFill>
                    <w14:schemeClr w14:val="tx1">
                      <w14:lumMod w14:val="85000"/>
                      <w14:lumOff w14:val="15000"/>
                    </w14:schemeClr>
                  </w14:solidFill>
                </w14:textFill>
              </w:rPr>
              <w:t>米（不含）以下儿童需成人陪同，</w:t>
            </w:r>
            <w:r>
              <w:rPr>
                <w:color w:val="262626" w:themeColor="text1" w:themeTint="D9"/>
                <w:sz w:val="18"/>
                <w:szCs w:val="18"/>
                <w:u w:val="single"/>
                <w14:textFill>
                  <w14:solidFill>
                    <w14:schemeClr w14:val="tx1">
                      <w14:lumMod w14:val="85000"/>
                      <w14:lumOff w14:val="15000"/>
                    </w14:schemeClr>
                  </w14:solidFill>
                </w14:textFill>
              </w:rPr>
              <w:t>1</w:t>
            </w:r>
            <w:r>
              <w:rPr>
                <w:rFonts w:hint="eastAsia"/>
                <w:color w:val="262626" w:themeColor="text1" w:themeTint="D9"/>
                <w:sz w:val="18"/>
                <w:szCs w:val="18"/>
                <w:u w:val="single"/>
                <w14:textFill>
                  <w14:solidFill>
                    <w14:schemeClr w14:val="tx1">
                      <w14:lumMod w14:val="85000"/>
                      <w14:lumOff w14:val="15000"/>
                    </w14:schemeClr>
                  </w14:solidFill>
                </w14:textFill>
              </w:rPr>
              <w:t>名成人最多携带</w:t>
            </w:r>
            <w:r>
              <w:rPr>
                <w:color w:val="262626" w:themeColor="text1" w:themeTint="D9"/>
                <w:sz w:val="18"/>
                <w:szCs w:val="18"/>
                <w:u w:val="single"/>
                <w14:textFill>
                  <w14:solidFill>
                    <w14:schemeClr w14:val="tx1">
                      <w14:lumMod w14:val="85000"/>
                      <w14:lumOff w14:val="15000"/>
                    </w14:schemeClr>
                  </w14:solidFill>
                </w14:textFill>
              </w:rPr>
              <w:t>1</w:t>
            </w:r>
            <w:r>
              <w:rPr>
                <w:rFonts w:hint="eastAsia"/>
                <w:color w:val="262626" w:themeColor="text1" w:themeTint="D9"/>
                <w:sz w:val="18"/>
                <w:szCs w:val="18"/>
                <w:u w:val="single"/>
                <w14:textFill>
                  <w14:solidFill>
                    <w14:schemeClr w14:val="tx1">
                      <w14:lumMod w14:val="85000"/>
                      <w14:lumOff w14:val="15000"/>
                    </w14:schemeClr>
                  </w14:solidFill>
                </w14:textFill>
              </w:rPr>
              <w:t>名儿童，此项目不用不退费）</w:t>
            </w:r>
          </w:p>
          <w:p>
            <w:pPr>
              <w:spacing w:before="62" w:beforeLines="20" w:after="62" w:afterLines="20" w:line="26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C00000"/>
                <w:sz w:val="18"/>
                <w:szCs w:val="18"/>
              </w:rPr>
              <w:t>住宿安排：</w:t>
            </w:r>
            <w:r>
              <w:rPr>
                <w:rFonts w:hint="eastAsia"/>
                <w:sz w:val="18"/>
                <w:szCs w:val="18"/>
              </w:rPr>
              <w:t>指定酒店</w:t>
            </w:r>
          </w:p>
          <w:p>
            <w:pPr>
              <w:spacing w:before="62" w:beforeLines="20" w:after="62" w:afterLines="20" w:line="26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C00000"/>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中餐：波隆野菜自助   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017" w:hRule="atLeast"/>
          <w:jc w:val="center"/>
        </w:trPr>
        <w:tc>
          <w:tcPr>
            <w:tcW w:w="1863" w:type="dxa"/>
            <w:tcBorders>
              <w:top w:val="single" w:color="F1D2C2" w:sz="6" w:space="0"/>
              <w:left w:val="single" w:color="FFFFFF" w:sz="4" w:space="0"/>
              <w:bottom w:val="single" w:color="F1D2C2" w:sz="6"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D4</w:t>
            </w:r>
          </w:p>
          <w:p>
            <w:pPr>
              <w:spacing w:line="200" w:lineRule="exact"/>
              <w:rPr>
                <w:rFonts w:hAnsi="宋体"/>
                <w:iCs/>
                <w:color w:val="262626" w:themeColor="text1" w:themeTint="D9"/>
                <w:sz w:val="18"/>
                <w:szCs w:val="18"/>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8D8D8" w:themeColor="background1" w:themeShade="D9" w:sz="6" w:space="0"/>
              <w:bottom w:val="single" w:color="D8D8D8" w:themeColor="background1" w:themeShade="D9" w:sz="6" w:space="0"/>
            </w:tcBorders>
            <w:shd w:val="clear" w:color="auto" w:fill="auto"/>
            <w:vAlign w:val="center"/>
          </w:tcPr>
          <w:p>
            <w:pPr>
              <w:spacing w:before="93" w:beforeLines="30" w:after="93" w:afterLines="30" w:line="280" w:lineRule="exact"/>
              <w:rPr>
                <w:b/>
                <w:bCs/>
                <w:color w:val="E60044"/>
                <w:sz w:val="18"/>
                <w:szCs w:val="18"/>
              </w:rPr>
            </w:pPr>
            <w:r>
              <w:rPr>
                <w:rFonts w:hint="eastAsia"/>
                <w:color w:val="E60044"/>
                <w:sz w:val="18"/>
                <w:szCs w:val="18"/>
              </w:rPr>
              <w:t>景点安排：</w:t>
            </w:r>
            <w:r>
              <w:rPr>
                <w:rFonts w:hint="eastAsia"/>
                <w:b/>
                <w:color w:val="E60044"/>
                <w:sz w:val="18"/>
                <w:szCs w:val="18"/>
              </w:rPr>
              <w:t>亚特兰蒂斯水世界—亚特兰蒂斯水族馆</w:t>
            </w:r>
          </w:p>
          <w:p>
            <w:pPr>
              <w:spacing w:before="93" w:beforeLines="30" w:after="93" w:afterLines="30" w:line="280" w:lineRule="exact"/>
              <w:rPr>
                <w:color w:val="262626" w:themeColor="text1" w:themeTint="D9"/>
                <w:sz w:val="18"/>
                <w:szCs w:val="18"/>
                <w14:textFill>
                  <w14:solidFill>
                    <w14:schemeClr w14:val="tx1">
                      <w14:lumMod w14:val="85000"/>
                      <w14:lumOff w14:val="15000"/>
                    </w14:schemeClr>
                  </w14:solidFill>
                </w14:textFill>
              </w:rPr>
            </w:pPr>
            <w:r>
              <w:rPr>
                <w:rFonts w:hint="eastAsia"/>
                <w:b/>
                <w:color w:val="262626" w:themeColor="text1" w:themeTint="D9"/>
                <w:sz w:val="18"/>
                <w:szCs w:val="18"/>
                <w14:textFill>
                  <w14:solidFill>
                    <w14:schemeClr w14:val="tx1">
                      <w14:lumMod w14:val="85000"/>
                      <w14:lumOff w14:val="15000"/>
                    </w14:schemeClr>
                  </w14:solidFill>
                </w14:textFill>
              </w:rPr>
              <w:t>【亚特兰蒂斯水世界】：</w:t>
            </w:r>
            <w:r>
              <w:rPr>
                <w:rFonts w:hint="eastAsia"/>
                <w:color w:val="262626" w:themeColor="text1" w:themeTint="D9"/>
                <w:sz w:val="18"/>
                <w:szCs w:val="18"/>
                <w14:textFill>
                  <w14:solidFill>
                    <w14:schemeClr w14:val="tx1">
                      <w14:lumMod w14:val="85000"/>
                      <w14:lumOff w14:val="15000"/>
                    </w14:schemeClr>
                  </w14:solidFill>
                </w14:textFill>
              </w:rPr>
              <w:t>全天无限次畅玩，按照国际领先标准建造，拥有目前世界最先进的设备，其滑道总长达到 2510 米，园区占地超过20万平方米，吃喝玩一站式体验，嗨到根本就停不下来！</w:t>
            </w:r>
          </w:p>
          <w:p>
            <w:pPr>
              <w:spacing w:before="93" w:beforeLines="30" w:after="93" w:afterLines="30" w:line="280" w:lineRule="exact"/>
              <w:rPr>
                <w:rFonts w:ascii="宋体" w:hAnsi="宋体" w:eastAsia="宋体" w:cs="宋体"/>
                <w:color w:val="262626" w:themeColor="text1" w:themeTint="D9"/>
                <w:sz w:val="18"/>
                <w:szCs w:val="18"/>
                <w:lang w:val="zh-TW"/>
                <w14:textFill>
                  <w14:solidFill>
                    <w14:schemeClr w14:val="tx1">
                      <w14:lumMod w14:val="85000"/>
                      <w14:lumOff w14:val="15000"/>
                    </w14:schemeClr>
                  </w14:solidFill>
                </w14:textFill>
              </w:rPr>
            </w:pPr>
            <w:r>
              <w:rPr>
                <w:rFonts w:hint="eastAsia"/>
                <w:b/>
                <w:color w:val="262626" w:themeColor="text1" w:themeTint="D9"/>
                <w:sz w:val="18"/>
                <w:szCs w:val="18"/>
                <w14:textFill>
                  <w14:solidFill>
                    <w14:schemeClr w14:val="tx1">
                      <w14:lumMod w14:val="85000"/>
                      <w14:lumOff w14:val="15000"/>
                    </w14:schemeClr>
                  </w14:solidFill>
                </w14:textFill>
              </w:rPr>
              <w:t>【亚特兰蒂斯水族馆】：</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馆体营造出失落文明的神秘和大海的空灵，配有迷幻的海底背景音，馆体分为两层，抬眼即可看到超过86,000尾海洋生物在宁静的水中悠游，仿佛进入一个古老神秘的海底世界。</w:t>
            </w:r>
          </w:p>
          <w:p>
            <w:pPr>
              <w:spacing w:before="93" w:beforeLines="30" w:after="93" w:afterLines="30" w:line="28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C00000"/>
                <w:sz w:val="18"/>
                <w:szCs w:val="18"/>
              </w:rPr>
              <w:t>住宿安排：</w:t>
            </w:r>
            <w:r>
              <w:rPr>
                <w:rFonts w:hint="eastAsia"/>
                <w:sz w:val="18"/>
                <w:szCs w:val="18"/>
              </w:rPr>
              <w:t>指定酒店</w:t>
            </w:r>
          </w:p>
          <w:p>
            <w:pPr>
              <w:spacing w:before="93" w:beforeLines="30" w:after="93" w:afterLines="30" w:line="280" w:lineRule="exact"/>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C00000"/>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中餐：自理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1171" w:hRule="atLeast"/>
          <w:jc w:val="center"/>
        </w:trPr>
        <w:tc>
          <w:tcPr>
            <w:tcW w:w="1863" w:type="dxa"/>
            <w:tcBorders>
              <w:top w:val="single" w:color="F1D2C2" w:sz="6" w:space="0"/>
              <w:left w:val="single" w:color="FFFFFF" w:sz="4" w:space="0"/>
              <w:bottom w:val="single" w:color="FFFFFF"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D5</w:t>
            </w:r>
          </w:p>
          <w:p>
            <w:pPr>
              <w:spacing w:line="200" w:lineRule="exac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w:t>
            </w:r>
            <w:r>
              <w:rPr>
                <w:rFonts w:hint="eastAsia" w:ascii="宋体" w:hAnsi="宋体"/>
                <w:color w:val="262626" w:themeColor="text1" w:themeTint="D9"/>
                <w:sz w:val="18"/>
                <w:szCs w:val="18"/>
                <w14:textFill>
                  <w14:solidFill>
                    <w14:schemeClr w14:val="tx1">
                      <w14:lumMod w14:val="85000"/>
                      <w14:lumOff w14:val="15000"/>
                    </w14:schemeClr>
                  </w14:solidFill>
                </w14:textFill>
              </w:rPr>
              <w:t xml:space="preserve"> &gt;&gt; 温馨的家</w:t>
            </w:r>
          </w:p>
        </w:tc>
        <w:tc>
          <w:tcPr>
            <w:tcW w:w="6478" w:type="dxa"/>
            <w:tcBorders>
              <w:top w:val="single" w:color="D8D8D8" w:themeColor="background1" w:themeShade="D9" w:sz="6" w:space="0"/>
            </w:tcBorders>
            <w:shd w:val="clear" w:color="auto" w:fill="auto"/>
            <w:vAlign w:val="center"/>
          </w:tcPr>
          <w:p>
            <w:pPr>
              <w:spacing w:before="93" w:beforeLines="30" w:after="93" w:afterLines="30" w:line="280" w:lineRule="exact"/>
              <w:rPr>
                <w:sz w:val="18"/>
                <w:szCs w:val="18"/>
                <w:lang w:val="zh-TW"/>
              </w:rPr>
            </w:pPr>
            <w:r>
              <w:rPr>
                <w:rFonts w:hint="eastAsia"/>
                <w:sz w:val="18"/>
                <w:szCs w:val="18"/>
                <w:lang w:val="zh-TW"/>
              </w:rPr>
              <w:t>专人送机，乘机返回温馨家园（酒店退房时间为中午12点前）。</w:t>
            </w:r>
          </w:p>
          <w:p>
            <w:pPr>
              <w:spacing w:before="93" w:beforeLines="30" w:after="93" w:afterLines="30" w:line="280" w:lineRule="exact"/>
              <w:rPr>
                <w:sz w:val="18"/>
                <w:szCs w:val="18"/>
                <w:lang w:val="zh-TW"/>
              </w:rPr>
            </w:pPr>
            <w:r>
              <w:rPr>
                <w:rFonts w:hint="eastAsia"/>
                <w:color w:val="C00000"/>
                <w:sz w:val="18"/>
                <w:szCs w:val="18"/>
                <w:lang w:val="zh-TW"/>
              </w:rPr>
              <w:t>餐饮安排：</w:t>
            </w:r>
            <w:r>
              <w:rPr>
                <w:rFonts w:hint="eastAsia"/>
                <w:sz w:val="18"/>
                <w:szCs w:val="18"/>
                <w:lang w:val="zh-TW"/>
              </w:rPr>
              <w:t>早餐：酒店用餐   中餐：自理   晚餐：自理</w:t>
            </w:r>
          </w:p>
          <w:p>
            <w:pPr>
              <w:spacing w:before="93" w:beforeLines="30" w:after="93" w:afterLines="30" w:line="280" w:lineRule="exact"/>
              <w:rPr>
                <w:sz w:val="18"/>
                <w:szCs w:val="18"/>
                <w:lang w:val="zh-TW"/>
              </w:rPr>
            </w:pPr>
          </w:p>
          <w:p>
            <w:pPr>
              <w:spacing w:before="93" w:beforeLines="30" w:after="93" w:afterLines="30" w:line="280" w:lineRule="exact"/>
              <w:rPr>
                <w:sz w:val="18"/>
                <w:szCs w:val="18"/>
              </w:rPr>
            </w:pPr>
            <w:r>
              <w:rPr>
                <w:rFonts w:hint="eastAsia"/>
                <w:color w:val="808080" w:themeColor="text1" w:themeTint="80"/>
                <w:sz w:val="18"/>
                <w:szCs w:val="18"/>
                <w:u w:val="single"/>
                <w:lang w:val="zh-TW"/>
                <w14:textFill>
                  <w14:solidFill>
                    <w14:schemeClr w14:val="tx1">
                      <w14:lumMod w14:val="50000"/>
                      <w14:lumOff w14:val="50000"/>
                    </w14:schemeClr>
                  </w14:solidFill>
                </w14:textFill>
              </w:rPr>
              <w:t>注明：以上行程景点浏览仅供参考，在不减少景点情况下将对行程游览顺序进行调整，具体游览顺序请以实际出游为准。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vMerge w:val="continue"/>
            <w:tcBorders>
              <w:left w:val="single" w:color="FFFFFF" w:sz="4" w:space="0"/>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bl>
    <w:p/>
    <w:tbl>
      <w:tblPr>
        <w:tblStyle w:val="6"/>
        <w:tblW w:w="11225" w:type="dxa"/>
        <w:jc w:val="center"/>
        <w:tblInd w:w="0" w:type="dxa"/>
        <w:tblLayout w:type="fixed"/>
        <w:tblCellMar>
          <w:top w:w="113" w:type="dxa"/>
          <w:left w:w="57" w:type="dxa"/>
          <w:bottom w:w="113" w:type="dxa"/>
          <w:right w:w="57" w:type="dxa"/>
        </w:tblCellMar>
      </w:tblPr>
      <w:tblGrid>
        <w:gridCol w:w="1188"/>
        <w:gridCol w:w="501"/>
        <w:gridCol w:w="9536"/>
      </w:tblGrid>
      <w:tr>
        <w:tblPrEx>
          <w:tblLayout w:type="fixed"/>
          <w:tblCellMar>
            <w:top w:w="113" w:type="dxa"/>
            <w:left w:w="57" w:type="dxa"/>
            <w:bottom w:w="113" w:type="dxa"/>
            <w:right w:w="57" w:type="dxa"/>
          </w:tblCellMar>
        </w:tblPrEx>
        <w:trPr>
          <w:trHeight w:val="91" w:hRule="atLeast"/>
          <w:jc w:val="center"/>
        </w:trPr>
        <w:tc>
          <w:tcPr>
            <w:tcW w:w="11225" w:type="dxa"/>
            <w:gridSpan w:val="3"/>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 xml:space="preserve">费用包含 </w:t>
            </w:r>
          </w:p>
        </w:tc>
      </w:tr>
      <w:tr>
        <w:tblPrEx>
          <w:tblLayout w:type="fixed"/>
          <w:tblCellMar>
            <w:top w:w="113" w:type="dxa"/>
            <w:left w:w="57" w:type="dxa"/>
            <w:bottom w:w="113" w:type="dxa"/>
            <w:right w:w="57" w:type="dxa"/>
          </w:tblCellMar>
        </w:tblPrEx>
        <w:trPr>
          <w:trHeight w:val="2022" w:hRule="atLeast"/>
          <w:jc w:val="center"/>
        </w:trPr>
        <w:tc>
          <w:tcPr>
            <w:tcW w:w="11225" w:type="dxa"/>
            <w:gridSpan w:val="3"/>
            <w:tcBorders>
              <w:top w:val="single" w:color="E60044" w:sz="4" w:space="0"/>
              <w:left w:val="single" w:color="FFFFFF" w:sz="4" w:space="0"/>
              <w:right w:val="single" w:color="FFFFFF" w:sz="4" w:space="0"/>
              <w:tl2br w:val="nil"/>
              <w:tr2bl w:val="nil"/>
            </w:tcBorders>
            <w:shd w:val="clear" w:color="auto" w:fill="auto"/>
          </w:tcPr>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旅游交通：</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往返机票、机建燃油、海南当地</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VIP</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空调旅游车，</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正座（</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26</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座以下无行李箱）；</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住宿标准：</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三亚一地，全程</w:t>
            </w:r>
            <w:r>
              <w:rPr>
                <w:rFonts w:hint="eastAsia" w:ascii="宋体" w:hAnsi="宋体" w:eastAsia="宋体"/>
                <w:sz w:val="18"/>
                <w:szCs w:val="18"/>
              </w:rPr>
              <w:t>一线海边</w:t>
            </w:r>
            <w:r>
              <w:rPr>
                <w:rFonts w:hint="eastAsia" w:ascii="宋体" w:hAnsi="宋体"/>
                <w:sz w:val="18"/>
                <w:szCs w:val="18"/>
              </w:rPr>
              <w:t>酒店海景大床房，1晚升级水中奇迹·亚特兰蒂斯海景房</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景点门票：</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报价包含景点首道门票（不含景区内设自费项目，另有约定除外）；</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用餐标准：</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全程</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2</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正4早，正餐标30元/人/餐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w:t>
            </w:r>
            <w:r>
              <w:rPr>
                <w:rFonts w:hint="eastAsia" w:ascii="宋体" w:hAnsi="宋体"/>
                <w:sz w:val="18"/>
                <w:szCs w:val="18"/>
              </w:rPr>
              <w:t xml:space="preserve">升级 </w:t>
            </w: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“蟹鲍海鲜餐1份/人”、</w:t>
            </w:r>
            <w:r>
              <w:rPr>
                <w:rFonts w:hint="eastAsia" w:ascii="宋体" w:hAnsi="宋体"/>
                <w:sz w:val="18"/>
                <w:szCs w:val="18"/>
              </w:rPr>
              <w:t>“波隆野菜自助餐”各1次</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保险服务：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最高保额</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30</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万元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人海南旅行社责任险；</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导游服务：</w:t>
            </w:r>
            <w:bookmarkStart w:id="0" w:name="_GoBack"/>
            <w:bookmarkEnd w:id="0"/>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持证专业导游，幽默风趣耐心解说、贴心细致管家式服务；</w:t>
            </w:r>
          </w:p>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儿童费用：</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2岁以上1.2米以下儿童只含半价正餐+车位，不含早餐</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w:t>
            </w:r>
          </w:p>
          <w:p>
            <w:pPr>
              <w:spacing w:before="93" w:beforeLines="30" w:after="93" w:afterLines="30" w:line="240" w:lineRule="exact"/>
              <w:jc w:val="left"/>
              <w:rPr>
                <w:color w:val="262626" w:themeColor="text1" w:themeTint="D9"/>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特别说明：</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“费用包含说明”内容以外的所有费用不包含。</w:t>
            </w:r>
          </w:p>
        </w:tc>
      </w:tr>
      <w:tr>
        <w:tblPrEx>
          <w:tblLayout w:type="fixed"/>
          <w:tblCellMar>
            <w:top w:w="113" w:type="dxa"/>
            <w:left w:w="57" w:type="dxa"/>
            <w:bottom w:w="113" w:type="dxa"/>
            <w:right w:w="57" w:type="dxa"/>
          </w:tblCellMar>
        </w:tblPrEx>
        <w:trPr>
          <w:trHeight w:val="452" w:hRule="atLeast"/>
          <w:jc w:val="center"/>
        </w:trPr>
        <w:tc>
          <w:tcPr>
            <w:tcW w:w="11225" w:type="dxa"/>
            <w:gridSpan w:val="3"/>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 xml:space="preserve">酒店说明 </w:t>
            </w:r>
          </w:p>
        </w:tc>
      </w:tr>
      <w:tr>
        <w:tblPrEx>
          <w:tblLayout w:type="fixed"/>
          <w:tblCellMar>
            <w:top w:w="113" w:type="dxa"/>
            <w:left w:w="57" w:type="dxa"/>
            <w:bottom w:w="113" w:type="dxa"/>
            <w:right w:w="57" w:type="dxa"/>
          </w:tblCellMar>
        </w:tblPrEx>
        <w:trPr>
          <w:trHeight w:val="260" w:hRule="atLeast"/>
          <w:jc w:val="center"/>
        </w:trPr>
        <w:tc>
          <w:tcPr>
            <w:tcW w:w="1689" w:type="dxa"/>
            <w:gridSpan w:val="2"/>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地区/标准</w:t>
            </w:r>
          </w:p>
        </w:tc>
        <w:tc>
          <w:tcPr>
            <w:tcW w:w="9536"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指定酒店</w:t>
            </w:r>
          </w:p>
        </w:tc>
      </w:tr>
      <w:tr>
        <w:tblPrEx>
          <w:tblLayout w:type="fixed"/>
          <w:tblCellMar>
            <w:top w:w="113" w:type="dxa"/>
            <w:left w:w="57" w:type="dxa"/>
            <w:bottom w:w="113" w:type="dxa"/>
            <w:right w:w="57" w:type="dxa"/>
          </w:tblCellMar>
        </w:tblPrEx>
        <w:trPr>
          <w:trHeight w:val="307" w:hRule="atLeast"/>
          <w:jc w:val="center"/>
        </w:trPr>
        <w:tc>
          <w:tcPr>
            <w:tcW w:w="1689" w:type="dxa"/>
            <w:gridSpan w:val="2"/>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三亚·指定酒店</w:t>
            </w:r>
          </w:p>
        </w:tc>
        <w:tc>
          <w:tcPr>
            <w:tcW w:w="9536"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sz w:val="18"/>
                <w:szCs w:val="18"/>
              </w:rPr>
              <w:t>洛克铂金，京海假日，希尔顿花园酒店，大东海酒店、海韵、三亚湾假日</w:t>
            </w:r>
          </w:p>
        </w:tc>
      </w:tr>
      <w:tr>
        <w:tblPrEx>
          <w:tblLayout w:type="fixed"/>
          <w:tblCellMar>
            <w:top w:w="113" w:type="dxa"/>
            <w:left w:w="57" w:type="dxa"/>
            <w:bottom w:w="113" w:type="dxa"/>
            <w:right w:w="57" w:type="dxa"/>
          </w:tblCellMar>
        </w:tblPrEx>
        <w:trPr>
          <w:trHeight w:val="333" w:hRule="atLeast"/>
          <w:jc w:val="center"/>
        </w:trPr>
        <w:tc>
          <w:tcPr>
            <w:tcW w:w="1689" w:type="dxa"/>
            <w:gridSpan w:val="2"/>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三亚·指定酒店</w:t>
            </w:r>
          </w:p>
        </w:tc>
        <w:tc>
          <w:tcPr>
            <w:tcW w:w="9536"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sz w:val="18"/>
                <w:szCs w:val="18"/>
              </w:rPr>
              <w:t>亚特兰蒂斯海景房、海棠湾红树林</w:t>
            </w:r>
          </w:p>
        </w:tc>
      </w:tr>
      <w:tr>
        <w:tblPrEx>
          <w:tblLayout w:type="fixed"/>
          <w:tblCellMar>
            <w:top w:w="113" w:type="dxa"/>
            <w:left w:w="57" w:type="dxa"/>
            <w:bottom w:w="113" w:type="dxa"/>
            <w:right w:w="57" w:type="dxa"/>
          </w:tblCellMar>
        </w:tblPrEx>
        <w:trPr>
          <w:trHeight w:val="236" w:hRule="atLeast"/>
          <w:jc w:val="center"/>
        </w:trPr>
        <w:tc>
          <w:tcPr>
            <w:tcW w:w="11225" w:type="dxa"/>
            <w:gridSpan w:val="3"/>
            <w:tcBorders>
              <w:top w:val="single" w:color="FFFFFF" w:sz="4" w:space="0"/>
              <w:left w:val="single" w:color="FFFFFF" w:sz="4" w:space="0"/>
              <w:right w:val="single" w:color="FFFFFF" w:sz="4" w:space="0"/>
              <w:tl2br w:val="nil"/>
              <w:tr2bl w:val="nil"/>
            </w:tcBorders>
            <w:shd w:val="clear" w:color="auto" w:fill="auto"/>
            <w:vAlign w:val="center"/>
          </w:tcPr>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注：如遇旺季酒店房型售罄或酒店会议、政府活动占用等情形，我社将会升级至不低于以上所列标准的同类型酒店，敬请谅解。</w:t>
            </w:r>
          </w:p>
        </w:tc>
      </w:tr>
      <w:tr>
        <w:tblPrEx>
          <w:tblLayout w:type="fixed"/>
          <w:tblCellMar>
            <w:top w:w="113" w:type="dxa"/>
            <w:left w:w="57" w:type="dxa"/>
            <w:bottom w:w="113" w:type="dxa"/>
            <w:right w:w="57" w:type="dxa"/>
          </w:tblCellMar>
        </w:tblPrEx>
        <w:trPr>
          <w:trHeight w:val="450" w:hRule="atLeast"/>
          <w:jc w:val="center"/>
        </w:trPr>
        <w:tc>
          <w:tcPr>
            <w:tcW w:w="11225" w:type="dxa"/>
            <w:gridSpan w:val="3"/>
            <w:tcBorders>
              <w:bottom w:val="single" w:color="E60044" w:sz="4" w:space="0"/>
            </w:tcBorders>
            <w:shd w:val="clear" w:color="auto" w:fill="auto"/>
            <w:vAlign w:val="center"/>
          </w:tcPr>
          <w:p>
            <w:pPr>
              <w:jc w:val="center"/>
              <w:rPr>
                <w:color w:val="E60044"/>
              </w:rPr>
            </w:pPr>
            <w:r>
              <w:rPr>
                <w:rFonts w:hint="eastAsia" w:ascii="宋体" w:hAnsi="宋体"/>
                <w:b/>
                <w:color w:val="E60044"/>
                <w:sz w:val="28"/>
                <w:szCs w:val="28"/>
              </w:rPr>
              <w:t xml:space="preserve">餐饮说明 </w:t>
            </w:r>
          </w:p>
        </w:tc>
      </w:tr>
      <w:tr>
        <w:tblPrEx>
          <w:tblLayout w:type="fixed"/>
          <w:tblCellMar>
            <w:top w:w="113" w:type="dxa"/>
            <w:left w:w="57" w:type="dxa"/>
            <w:bottom w:w="113" w:type="dxa"/>
            <w:right w:w="57" w:type="dxa"/>
          </w:tblCellMar>
        </w:tblPrEx>
        <w:trPr>
          <w:trHeight w:val="1433" w:hRule="atLeast"/>
          <w:jc w:val="center"/>
        </w:trPr>
        <w:tc>
          <w:tcPr>
            <w:tcW w:w="1188" w:type="dxa"/>
            <w:tcBorders>
              <w:top w:val="single" w:color="E60044" w:sz="4" w:space="0"/>
              <w:left w:val="single" w:color="FFFFFF" w:sz="4" w:space="0"/>
              <w:bottom w:val="single" w:color="E60044" w:sz="4" w:space="0"/>
              <w:right w:val="single" w:color="FFFFFF" w:sz="4" w:space="0"/>
            </w:tcBorders>
            <w:shd w:val="clear" w:color="auto" w:fill="D0CECE" w:themeFill="background2" w:themeFillShade="E6"/>
            <w:vAlign w:val="center"/>
          </w:tcPr>
          <w:p>
            <w:pPr>
              <w:spacing w:before="31" w:beforeLines="10" w:after="31" w:afterLines="10" w:line="280" w:lineRule="exact"/>
              <w:jc w:val="center"/>
              <w:rPr>
                <w:rFonts w:ascii="宋体" w:hAnsi="宋体" w:eastAsia="宋体" w:cs="宋体"/>
                <w:color w:val="262626" w:themeColor="text1" w:themeTint="D9"/>
                <w:sz w:val="18"/>
                <w:szCs w:val="18"/>
                <w:highlight w:val="yellow"/>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波隆野菜自助</w:t>
            </w:r>
          </w:p>
        </w:tc>
        <w:tc>
          <w:tcPr>
            <w:tcW w:w="10037" w:type="dxa"/>
            <w:gridSpan w:val="2"/>
            <w:tcBorders>
              <w:top w:val="single" w:color="E60044" w:sz="4" w:space="0"/>
              <w:left w:val="single" w:color="FFFFFF" w:sz="4" w:space="0"/>
              <w:bottom w:val="single" w:color="E60044" w:sz="4" w:space="0"/>
              <w:right w:val="single" w:color="FFFFFF" w:sz="4" w:space="0"/>
            </w:tcBorders>
            <w:shd w:val="clear" w:color="auto" w:fill="E7E6E6" w:themeFill="background2"/>
            <w:vAlign w:val="center"/>
          </w:tcPr>
          <w:p>
            <w:pPr>
              <w:spacing w:before="31" w:beforeLines="10" w:after="31" w:afterLines="10" w:line="280" w:lineRule="exact"/>
              <w:rPr>
                <w:rFonts w:ascii="宋体" w:hAnsi="宋体" w:eastAsia="宋体" w:cs="宋体"/>
                <w:color w:val="262626" w:themeColor="text1" w:themeTint="D9"/>
                <w:sz w:val="18"/>
                <w:szCs w:val="18"/>
                <w:highlight w:val="yellow"/>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凉菜类：海鲜卷、金针菇拌青瓜、糖拌西红柿、黎家萝卜干、凉拌野菜、洋葱拌木耳、凉拌海带丝；热菜类：白切槟榔鸡、腐竹焖鸭块、豆酱蒸河鲜、脆皮木瓜酥、爽口水立方、蒌叶煎土鸡蛋、清蒸南瓜、炒时蔬、野菜煎五花肉、黎家豆腐、烧汁爽肉、木瓜炒韭菜、海白煮萝卜丝；汤类：野生山菌老鸡汤、槟榔花冬瓜老鸭汤、猪肺汤；主食类：腌海南粉、绿豆糕甜品、地瓜粥、野菜炒饭、老面馒头、野菜瘦肉粥、蛋糕、香蒸菜包；田园沙律：紫椰子菜、红萝卜、洋葱、青瓜、圣女果、西生菜、大葱、玉米、红腰果。</w:t>
            </w:r>
          </w:p>
        </w:tc>
      </w:tr>
      <w:tr>
        <w:tblPrEx>
          <w:tblLayout w:type="fixed"/>
          <w:tblCellMar>
            <w:top w:w="113" w:type="dxa"/>
            <w:left w:w="57" w:type="dxa"/>
            <w:bottom w:w="113" w:type="dxa"/>
            <w:right w:w="57" w:type="dxa"/>
          </w:tblCellMar>
        </w:tblPrEx>
        <w:trPr>
          <w:trHeight w:val="19" w:hRule="atLeast"/>
          <w:jc w:val="center"/>
        </w:trPr>
        <w:tc>
          <w:tcPr>
            <w:tcW w:w="1188"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spacing w:before="31" w:beforeLines="10" w:after="31" w:afterLines="10" w:line="280" w:lineRule="exact"/>
              <w:jc w:val="cente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蟹鲍海鲜餐1份/人</w:t>
            </w:r>
          </w:p>
        </w:tc>
        <w:tc>
          <w:tcPr>
            <w:tcW w:w="10037" w:type="dxa"/>
            <w:gridSpan w:val="2"/>
            <w:tcBorders>
              <w:top w:val="single" w:color="E60044" w:sz="4" w:space="0"/>
              <w:left w:val="single" w:color="FFFFFF" w:sz="4" w:space="0"/>
              <w:bottom w:val="single" w:color="FFFFFF" w:sz="4" w:space="0"/>
              <w:right w:val="single" w:color="FFFFFF" w:sz="4" w:space="0"/>
            </w:tcBorders>
            <w:shd w:val="clear" w:color="auto" w:fill="E7E6E6" w:themeFill="background2"/>
            <w:vAlign w:val="center"/>
          </w:tcPr>
          <w:p>
            <w:pPr>
              <w:jc w:val="left"/>
              <w:rPr>
                <w:sz w:val="18"/>
                <w:szCs w:val="18"/>
              </w:rPr>
            </w:pPr>
            <w:r>
              <w:rPr>
                <w:rFonts w:hint="eastAsia"/>
                <w:sz w:val="18"/>
                <w:szCs w:val="18"/>
              </w:rPr>
              <w:t>野生南海鲍鱼（2只）、野生和乐蟹（1只）、野生大海虾（2只）、粉丝蒸扇贝（2个）、粉丝蒸带子（2只）、白灼沙包螺、白灼鸡腿螺、白灼花螺、红酒1杯/人、鸡油饭1晚/人、小菜一份、水果一份</w:t>
            </w:r>
          </w:p>
        </w:tc>
      </w:tr>
    </w:tbl>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注：以上菜单为参考菜单，请以当天餐厅实际菜单为准</w:t>
      </w:r>
    </w:p>
    <w:tbl>
      <w:tblPr>
        <w:tblStyle w:val="6"/>
        <w:tblpPr w:leftFromText="180" w:rightFromText="180" w:vertAnchor="text" w:horzAnchor="page" w:tblpX="415" w:tblpY="93"/>
        <w:tblOverlap w:val="never"/>
        <w:tblW w:w="1122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rPr>
          <w:trHeight w:val="293" w:hRule="atLeast"/>
        </w:trPr>
        <w:tc>
          <w:tcPr>
            <w:tcW w:w="11225" w:type="dxa"/>
            <w:shd w:val="clear" w:color="auto" w:fill="E60044"/>
            <w:vAlign w:val="center"/>
          </w:tcPr>
          <w:p>
            <w:pPr>
              <w:jc w:val="center"/>
              <w:rPr>
                <w:color w:val="FFFFFF" w:themeColor="background1"/>
                <w14:textFill>
                  <w14:solidFill>
                    <w14:schemeClr w14:val="bg1"/>
                  </w14:solidFill>
                </w14:textFill>
              </w:rPr>
            </w:pPr>
            <w:r>
              <w:rPr>
                <w:rFonts w:hint="eastAsia" w:ascii="宋体" w:hAnsi="宋体"/>
                <w:b/>
                <w:color w:val="FFFFFF" w:themeColor="background1"/>
                <w:sz w:val="28"/>
                <w:szCs w:val="28"/>
                <w14:textFill>
                  <w14:solidFill>
                    <w14:schemeClr w14:val="bg1"/>
                  </w14:solidFill>
                </w14:textFill>
              </w:rPr>
              <w:t xml:space="preserve">补充说明 </w:t>
            </w:r>
          </w:p>
        </w:tc>
      </w:tr>
    </w:tbl>
    <w:p>
      <w:pPr>
        <w:rPr>
          <w:color w:val="262626" w:themeColor="text1" w:themeTint="D9"/>
          <w:sz w:val="18"/>
          <w:szCs w:val="18"/>
          <w14:textFill>
            <w14:solidFill>
              <w14:schemeClr w14:val="tx1">
                <w14:lumMod w14:val="85000"/>
                <w14:lumOff w14:val="15000"/>
              </w14:schemeClr>
            </w14:solidFill>
          </w14:textFill>
        </w:rPr>
      </w:pPr>
      <w:r>
        <w:rPr>
          <w:rFonts w:hint="eastAsia"/>
          <w:color w:val="262626" w:themeColor="text1" w:themeTint="D9"/>
          <w:sz w:val="18"/>
          <w:szCs w:val="18"/>
          <w14:textFill>
            <w14:solidFill>
              <w14:schemeClr w14:val="tx1">
                <w14:lumMod w14:val="85000"/>
                <w14:lumOff w14:val="15000"/>
              </w14:schemeClr>
            </w14:solidFill>
          </w14:textFill>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rPr>
          <w:color w:val="262626" w:themeColor="text1" w:themeTint="D9"/>
          <w:sz w:val="18"/>
          <w:szCs w:val="18"/>
          <w14:textFill>
            <w14:solidFill>
              <w14:schemeClr w14:val="tx1">
                <w14:lumMod w14:val="85000"/>
                <w14:lumOff w14:val="15000"/>
              </w14:schemeClr>
            </w14:solidFill>
          </w14:textFill>
        </w:rPr>
      </w:pPr>
      <w:r>
        <w:rPr>
          <w:rFonts w:hint="eastAsia"/>
          <w:color w:val="262626" w:themeColor="text1" w:themeTint="D9"/>
          <w:sz w:val="18"/>
          <w:szCs w:val="18"/>
          <w14:textFill>
            <w14:solidFill>
              <w14:schemeClr w14:val="tx1">
                <w14:lumMod w14:val="85000"/>
                <w14:lumOff w14:val="15000"/>
              </w14:schemeClr>
            </w14:solidFill>
          </w14:textFill>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rPr>
          <w:color w:val="262626" w:themeColor="text1" w:themeTint="D9"/>
          <w:sz w:val="18"/>
          <w:szCs w:val="18"/>
          <w14:textFill>
            <w14:solidFill>
              <w14:schemeClr w14:val="tx1">
                <w14:lumMod w14:val="85000"/>
                <w14:lumOff w14:val="15000"/>
              </w14:schemeClr>
            </w14:solidFill>
          </w14:textFill>
        </w:rPr>
      </w:pPr>
      <w:r>
        <w:rPr>
          <w:rFonts w:hint="eastAsia"/>
          <w:color w:val="262626" w:themeColor="text1" w:themeTint="D9"/>
          <w:sz w:val="18"/>
          <w:szCs w:val="18"/>
          <w14:textFill>
            <w14:solidFill>
              <w14:schemeClr w14:val="tx1">
                <w14:lumMod w14:val="85000"/>
                <w14:lumOff w14:val="15000"/>
              </w14:schemeClr>
            </w14:solidFill>
          </w14:textFill>
        </w:rPr>
        <w:t>3、</w:t>
      </w:r>
      <w:r>
        <w:rPr>
          <w:rFonts w:hint="eastAsia" w:asciiTheme="minorEastAsia" w:hAnsiTheme="minorEastAsia" w:cstheme="minorEastAsia"/>
          <w:sz w:val="18"/>
          <w:szCs w:val="21"/>
        </w:rPr>
        <w:t>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rPr>
          <w:color w:val="262626" w:themeColor="text1" w:themeTint="D9"/>
          <w:sz w:val="18"/>
          <w:szCs w:val="18"/>
          <w14:textFill>
            <w14:solidFill>
              <w14:schemeClr w14:val="tx1">
                <w14:lumMod w14:val="85000"/>
                <w14:lumOff w14:val="15000"/>
              </w14:schemeClr>
            </w14:solidFill>
          </w14:textFill>
        </w:rPr>
      </w:pPr>
      <w:r>
        <w:rPr>
          <w:rFonts w:hint="eastAsia"/>
          <w:color w:val="262626" w:themeColor="text1" w:themeTint="D9"/>
          <w:sz w:val="18"/>
          <w:szCs w:val="18"/>
          <w14:textFill>
            <w14:solidFill>
              <w14:schemeClr w14:val="tx1">
                <w14:lumMod w14:val="85000"/>
                <w14:lumOff w14:val="15000"/>
              </w14:schemeClr>
            </w14:solidFill>
          </w14:textFill>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rPr>
          <w:color w:val="262626" w:themeColor="text1" w:themeTint="D9"/>
          <w:sz w:val="18"/>
          <w:szCs w:val="18"/>
          <w14:textFill>
            <w14:solidFill>
              <w14:schemeClr w14:val="tx1">
                <w14:lumMod w14:val="85000"/>
                <w14:lumOff w14:val="15000"/>
              </w14:schemeClr>
            </w14:solidFill>
          </w14:textFill>
        </w:rPr>
      </w:pPr>
      <w:r>
        <w:rPr>
          <w:rFonts w:hint="eastAsia"/>
          <w:color w:val="262626" w:themeColor="text1" w:themeTint="D9"/>
          <w:sz w:val="18"/>
          <w:szCs w:val="18"/>
          <w14:textFill>
            <w14:solidFill>
              <w14:schemeClr w14:val="tx1">
                <w14:lumMod w14:val="85000"/>
                <w14:lumOff w14:val="15000"/>
              </w14:schemeClr>
            </w14:solidFill>
          </w14:textFill>
        </w:rPr>
        <w:t>5、行程中旅游用车由海南省旅游汽车中心统一调度，保证一人一正座（26座以下旅游车无行李箱）。且旅游车队属于政府调度中心统一负责，不归旅行社管理，如果遇到司机细节服务不够完美地方，敬请您谅解。抵达海南前24小时内取消合同的游客（如因航班延误无法抵达等），需向我社交已经产生的旅游车位费及合同约定的其它费用约2000元/人。</w:t>
      </w:r>
    </w:p>
    <w:p>
      <w:pPr>
        <w:rPr>
          <w:color w:val="262626" w:themeColor="text1" w:themeTint="D9"/>
          <w:sz w:val="18"/>
          <w:szCs w:val="18"/>
          <w14:textFill>
            <w14:solidFill>
              <w14:schemeClr w14:val="tx1">
                <w14:lumMod w14:val="85000"/>
                <w14:lumOff w14:val="15000"/>
              </w14:schemeClr>
            </w14:solidFill>
          </w14:textFill>
        </w:rPr>
      </w:pPr>
      <w:r>
        <w:rPr>
          <w:rFonts w:hint="eastAsia"/>
          <w:color w:val="262626" w:themeColor="text1" w:themeTint="D9"/>
          <w:sz w:val="18"/>
          <w:szCs w:val="18"/>
          <w14:textFill>
            <w14:solidFill>
              <w14:schemeClr w14:val="tx1">
                <w14:lumMod w14:val="85000"/>
                <w14:lumOff w14:val="15000"/>
              </w14:schemeClr>
            </w14:solidFill>
          </w14:textFill>
        </w:rPr>
        <w:t>6、如遇人力不可抗拒因素（台风、暴雨、检修等）或政策性调整（博鳌亚洲论坛会议期间、全国性娱乐停演等）导致无法游览的景点和项目，我社有权取消或根据景区实际运营情况，更换为其它等价景点或项目；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w:t>
      </w:r>
    </w:p>
    <w:p>
      <w:pPr>
        <w:rPr>
          <w:color w:val="262626" w:themeColor="text1" w:themeTint="D9"/>
          <w:sz w:val="18"/>
          <w:szCs w:val="18"/>
          <w14:textFill>
            <w14:solidFill>
              <w14:schemeClr w14:val="tx1">
                <w14:lumMod w14:val="85000"/>
                <w14:lumOff w14:val="15000"/>
              </w14:schemeClr>
            </w14:solidFill>
          </w14:textFill>
        </w:rPr>
      </w:pPr>
      <w:r>
        <w:rPr>
          <w:rFonts w:hint="eastAsia"/>
          <w:color w:val="262626" w:themeColor="text1" w:themeTint="D9"/>
          <w:sz w:val="18"/>
          <w:szCs w:val="18"/>
          <w14:textFill>
            <w14:solidFill>
              <w14:schemeClr w14:val="tx1">
                <w14:lumMod w14:val="85000"/>
                <w14:lumOff w14:val="15000"/>
              </w14:schemeClr>
            </w14:solidFill>
          </w14:textFill>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rPr>
          <w:color w:val="262626" w:themeColor="text1" w:themeTint="D9"/>
          <w:sz w:val="18"/>
          <w:szCs w:val="18"/>
          <w14:textFill>
            <w14:solidFill>
              <w14:schemeClr w14:val="tx1">
                <w14:lumMod w14:val="85000"/>
                <w14:lumOff w14:val="15000"/>
              </w14:schemeClr>
            </w14:solidFill>
          </w14:textFill>
        </w:rPr>
      </w:pPr>
      <w:r>
        <w:rPr>
          <w:rFonts w:hint="eastAsia"/>
          <w:color w:val="262626" w:themeColor="text1" w:themeTint="D9"/>
          <w:sz w:val="18"/>
          <w:szCs w:val="18"/>
          <w14:textFill>
            <w14:solidFill>
              <w14:schemeClr w14:val="tx1">
                <w14:lumMod w14:val="85000"/>
                <w14:lumOff w14:val="15000"/>
              </w14:schemeClr>
            </w14:solidFill>
          </w14:textFill>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rPr>
          <w:color w:val="262626" w:themeColor="text1" w:themeTint="D9"/>
          <w:sz w:val="18"/>
          <w:szCs w:val="18"/>
          <w14:textFill>
            <w14:solidFill>
              <w14:schemeClr w14:val="tx1">
                <w14:lumMod w14:val="85000"/>
                <w14:lumOff w14:val="15000"/>
              </w14:schemeClr>
            </w14:solidFill>
          </w14:textFill>
        </w:rPr>
      </w:pPr>
      <w:r>
        <w:rPr>
          <w:rFonts w:hint="eastAsia"/>
          <w:color w:val="262626" w:themeColor="text1" w:themeTint="D9"/>
          <w:sz w:val="18"/>
          <w:szCs w:val="18"/>
          <w14:textFill>
            <w14:solidFill>
              <w14:schemeClr w14:val="tx1">
                <w14:lumMod w14:val="85000"/>
                <w14:lumOff w14:val="15000"/>
              </w14:schemeClr>
            </w14:solidFill>
          </w14:textFill>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rPr>
          <w:color w:val="262626" w:themeColor="text1" w:themeTint="D9"/>
          <w:sz w:val="18"/>
          <w:szCs w:val="18"/>
          <w14:textFill>
            <w14:solidFill>
              <w14:schemeClr w14:val="tx1">
                <w14:lumMod w14:val="85000"/>
                <w14:lumOff w14:val="15000"/>
              </w14:schemeClr>
            </w14:solidFill>
          </w14:textFill>
        </w:rPr>
      </w:pPr>
      <w:r>
        <w:rPr>
          <w:rFonts w:hint="eastAsia"/>
          <w:color w:val="262626" w:themeColor="text1" w:themeTint="D9"/>
          <w:sz w:val="18"/>
          <w:szCs w:val="18"/>
          <w14:textFill>
            <w14:solidFill>
              <w14:schemeClr w14:val="tx1">
                <w14:lumMod w14:val="85000"/>
                <w14:lumOff w14:val="15000"/>
              </w14:schemeClr>
            </w14:solidFill>
          </w14:textFill>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24小时客服热线：0898-66740099）。客服如在旅游期间在当地解决不了，可在当地备案，提醒：旅游投诉时效为返回出发地起30天内有效。</w:t>
      </w:r>
    </w:p>
    <w:p>
      <w:pPr>
        <w:rPr>
          <w:color w:val="262626" w:themeColor="text1" w:themeTint="D9"/>
          <w:sz w:val="18"/>
          <w:szCs w:val="18"/>
          <w14:textFill>
            <w14:solidFill>
              <w14:schemeClr w14:val="tx1">
                <w14:lumMod w14:val="85000"/>
                <w14:lumOff w14:val="15000"/>
              </w14:schemeClr>
            </w14:solidFill>
          </w14:textFill>
        </w:rPr>
      </w:pPr>
      <w:r>
        <w:rPr>
          <w:rFonts w:hint="eastAsia"/>
          <w:color w:val="262626" w:themeColor="text1" w:themeTint="D9"/>
          <w:sz w:val="18"/>
          <w:szCs w:val="18"/>
          <w14:textFill>
            <w14:solidFill>
              <w14:schemeClr w14:val="tx1">
                <w14:lumMod w14:val="85000"/>
                <w14:lumOff w14:val="15000"/>
              </w14:schemeClr>
            </w14:solidFill>
          </w14:textFill>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rPr>
          <w:color w:val="262626" w:themeColor="text1" w:themeTint="D9"/>
          <w:sz w:val="18"/>
          <w:szCs w:val="18"/>
          <w14:textFill>
            <w14:solidFill>
              <w14:schemeClr w14:val="tx1">
                <w14:lumMod w14:val="85000"/>
                <w14:lumOff w14:val="15000"/>
              </w14:schemeClr>
            </w14:solidFill>
          </w14:textFill>
        </w:rPr>
      </w:pPr>
      <w:r>
        <w:rPr>
          <w:rFonts w:hint="eastAsia"/>
          <w:color w:val="262626" w:themeColor="text1" w:themeTint="D9"/>
          <w:sz w:val="18"/>
          <w:szCs w:val="18"/>
          <w14:textFill>
            <w14:solidFill>
              <w14:schemeClr w14:val="tx1">
                <w14:lumMod w14:val="85000"/>
                <w14:lumOff w14:val="15000"/>
              </w14:schemeClr>
            </w14:solidFill>
          </w14:textFill>
        </w:rPr>
        <w:t>12、“0自费”解释：我社郑重承诺本线路全程不推荐任何自费景点及夜间娱乐项目，但不适用于游客自行自愿所选择的：海上自愿娱乐项目、景区内交通工具及特色演出（</w:t>
      </w:r>
      <w:r>
        <w:rPr>
          <w:rFonts w:hint="eastAsia" w:asciiTheme="minorEastAsia" w:hAnsiTheme="minorEastAsia" w:cstheme="minorEastAsia"/>
          <w:sz w:val="18"/>
          <w:szCs w:val="21"/>
        </w:rPr>
        <w:t>千古情演出300元/人，槟榔古韵演出175元/人</w:t>
      </w:r>
      <w:r>
        <w:rPr>
          <w:rFonts w:hint="eastAsia"/>
          <w:color w:val="262626" w:themeColor="text1" w:themeTint="D9"/>
          <w:sz w:val="18"/>
          <w:szCs w:val="18"/>
          <w14:textFill>
            <w14:solidFill>
              <w14:schemeClr w14:val="tx1">
                <w14:lumMod w14:val="85000"/>
                <w14:lumOff w14:val="15000"/>
              </w14:schemeClr>
            </w14:solidFill>
          </w14:textFill>
        </w:rPr>
        <w:t>，实际价格请以运营商公布为准）。“0购物”解释：我社郑重承诺本线路全程绝不包含及另行增加任何官方或非官方购物店，游客如有购物需求，敬请自行前往；不适用于游客自行自愿所选择的：景区内购物，海南部分景区及酒店为方便旅游者有自设的商场及购物场所，并非我社安排的旅游购物店，属于第三方与您之间自愿行为，此类投诉我社无法受理，敬请谅解。“赔付承诺”仅适用于：游客在海南旅游过程中进行的现场赔付，若行程已结束，回到出发地再提异议或投诉，我社概不受理；在法律允许范围内，最终解释权归海南地接社所有。</w:t>
      </w:r>
    </w:p>
    <w:p>
      <w:pPr>
        <w:rPr>
          <w:color w:val="262626" w:themeColor="text1" w:themeTint="D9"/>
          <w:sz w:val="18"/>
          <w:szCs w:val="18"/>
          <w14:textFill>
            <w14:solidFill>
              <w14:schemeClr w14:val="tx1">
                <w14:lumMod w14:val="85000"/>
                <w14:lumOff w14:val="15000"/>
              </w14:schemeClr>
            </w14:solidFill>
          </w14:textFill>
        </w:rPr>
      </w:pPr>
      <w:r>
        <w:rPr>
          <w:rFonts w:hint="eastAsia"/>
          <w:color w:val="262626" w:themeColor="text1" w:themeTint="D9"/>
          <w:sz w:val="18"/>
          <w:szCs w:val="18"/>
          <w14:textFill>
            <w14:solidFill>
              <w14:schemeClr w14:val="tx1">
                <w14:lumMod w14:val="85000"/>
                <w14:lumOff w14:val="15000"/>
              </w14:schemeClr>
            </w14:solidFill>
          </w14:textFill>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残疾证等证件不能减免门票费用。</w:t>
      </w:r>
    </w:p>
    <w:p>
      <w:pPr>
        <w:rPr>
          <w:b/>
          <w:color w:val="262626" w:themeColor="text1" w:themeTint="D9"/>
          <w:sz w:val="18"/>
          <w:szCs w:val="18"/>
          <w14:textFill>
            <w14:solidFill>
              <w14:schemeClr w14:val="tx1">
                <w14:lumMod w14:val="85000"/>
                <w14:lumOff w14:val="15000"/>
              </w14:schemeClr>
            </w14:solidFill>
          </w14:textFill>
        </w:rPr>
      </w:pPr>
      <w:r>
        <w:rPr>
          <w:rFonts w:hint="eastAsia"/>
          <w:b/>
          <w:color w:val="262626" w:themeColor="text1" w:themeTint="D9"/>
          <w:sz w:val="18"/>
          <w:szCs w:val="18"/>
          <w14:textFill>
            <w14:solidFill>
              <w14:schemeClr w14:val="tx1">
                <w14:lumMod w14:val="85000"/>
                <w14:lumOff w14:val="15000"/>
              </w14:schemeClr>
            </w14:solidFill>
          </w14:textFill>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sectPr>
      <w:footerReference r:id="rId3" w:type="default"/>
      <w:pgSz w:w="11906" w:h="16838"/>
      <w:pgMar w:top="340" w:right="340" w:bottom="340" w:left="340" w:header="232" w:footer="35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100E4F"/>
    <w:rsid w:val="0001212C"/>
    <w:rsid w:val="00077348"/>
    <w:rsid w:val="00091A24"/>
    <w:rsid w:val="000B6538"/>
    <w:rsid w:val="000C053C"/>
    <w:rsid w:val="000D3503"/>
    <w:rsid w:val="0015304C"/>
    <w:rsid w:val="00154850"/>
    <w:rsid w:val="0018460A"/>
    <w:rsid w:val="001A5209"/>
    <w:rsid w:val="001E3639"/>
    <w:rsid w:val="00277009"/>
    <w:rsid w:val="002950DF"/>
    <w:rsid w:val="002D2D60"/>
    <w:rsid w:val="002D3327"/>
    <w:rsid w:val="00314F41"/>
    <w:rsid w:val="00320946"/>
    <w:rsid w:val="00323CE9"/>
    <w:rsid w:val="00324C8A"/>
    <w:rsid w:val="003262BC"/>
    <w:rsid w:val="00370F46"/>
    <w:rsid w:val="003B2BB8"/>
    <w:rsid w:val="003C65C0"/>
    <w:rsid w:val="003E5D00"/>
    <w:rsid w:val="00473CE0"/>
    <w:rsid w:val="00474056"/>
    <w:rsid w:val="0048181A"/>
    <w:rsid w:val="00483E92"/>
    <w:rsid w:val="004F6A01"/>
    <w:rsid w:val="00501410"/>
    <w:rsid w:val="00522774"/>
    <w:rsid w:val="00544184"/>
    <w:rsid w:val="005632FF"/>
    <w:rsid w:val="005805A8"/>
    <w:rsid w:val="00590906"/>
    <w:rsid w:val="00607267"/>
    <w:rsid w:val="00615F52"/>
    <w:rsid w:val="00616EC2"/>
    <w:rsid w:val="00661CE0"/>
    <w:rsid w:val="006753CF"/>
    <w:rsid w:val="006A466F"/>
    <w:rsid w:val="006F6A16"/>
    <w:rsid w:val="00740689"/>
    <w:rsid w:val="007605D7"/>
    <w:rsid w:val="0077086E"/>
    <w:rsid w:val="00780BF5"/>
    <w:rsid w:val="00792D2D"/>
    <w:rsid w:val="007C6BB6"/>
    <w:rsid w:val="007F3433"/>
    <w:rsid w:val="00817500"/>
    <w:rsid w:val="00842A82"/>
    <w:rsid w:val="00854207"/>
    <w:rsid w:val="00882164"/>
    <w:rsid w:val="008B0A08"/>
    <w:rsid w:val="008C2FE6"/>
    <w:rsid w:val="0090053A"/>
    <w:rsid w:val="00947624"/>
    <w:rsid w:val="00984B67"/>
    <w:rsid w:val="009861CB"/>
    <w:rsid w:val="009E2AD2"/>
    <w:rsid w:val="00A15AE5"/>
    <w:rsid w:val="00A62E1B"/>
    <w:rsid w:val="00AC6C57"/>
    <w:rsid w:val="00AF1059"/>
    <w:rsid w:val="00AF4D2B"/>
    <w:rsid w:val="00B30C1E"/>
    <w:rsid w:val="00B55630"/>
    <w:rsid w:val="00B560ED"/>
    <w:rsid w:val="00B635E7"/>
    <w:rsid w:val="00B97D30"/>
    <w:rsid w:val="00BE46FC"/>
    <w:rsid w:val="00BF0D67"/>
    <w:rsid w:val="00C24052"/>
    <w:rsid w:val="00C5034F"/>
    <w:rsid w:val="00C835FC"/>
    <w:rsid w:val="00CA6E81"/>
    <w:rsid w:val="00CE4D42"/>
    <w:rsid w:val="00CE7D4F"/>
    <w:rsid w:val="00D02D09"/>
    <w:rsid w:val="00D107BE"/>
    <w:rsid w:val="00D3283E"/>
    <w:rsid w:val="00D35B14"/>
    <w:rsid w:val="00D61AC1"/>
    <w:rsid w:val="00D67701"/>
    <w:rsid w:val="00DC0929"/>
    <w:rsid w:val="00DD6E77"/>
    <w:rsid w:val="00DE1030"/>
    <w:rsid w:val="00DF5895"/>
    <w:rsid w:val="00E05BE1"/>
    <w:rsid w:val="00E16440"/>
    <w:rsid w:val="00E3024A"/>
    <w:rsid w:val="00E627C6"/>
    <w:rsid w:val="00E864B3"/>
    <w:rsid w:val="00E9627B"/>
    <w:rsid w:val="00ED2584"/>
    <w:rsid w:val="00EF77CB"/>
    <w:rsid w:val="00F06DE7"/>
    <w:rsid w:val="00F10CB4"/>
    <w:rsid w:val="00F42E12"/>
    <w:rsid w:val="00F579EB"/>
    <w:rsid w:val="00F65ACE"/>
    <w:rsid w:val="00FA1CF5"/>
    <w:rsid w:val="00FD0FCF"/>
    <w:rsid w:val="00FE68A5"/>
    <w:rsid w:val="01786AC3"/>
    <w:rsid w:val="02E8169C"/>
    <w:rsid w:val="05EA05B9"/>
    <w:rsid w:val="060B3707"/>
    <w:rsid w:val="06FF70AA"/>
    <w:rsid w:val="07EB79D6"/>
    <w:rsid w:val="09956601"/>
    <w:rsid w:val="0A15611A"/>
    <w:rsid w:val="0B952A4F"/>
    <w:rsid w:val="0BA115A6"/>
    <w:rsid w:val="0C3231B9"/>
    <w:rsid w:val="0D6367E4"/>
    <w:rsid w:val="0D9A0D34"/>
    <w:rsid w:val="14DD2A45"/>
    <w:rsid w:val="150A19EE"/>
    <w:rsid w:val="176554E0"/>
    <w:rsid w:val="17784F52"/>
    <w:rsid w:val="17C82FF6"/>
    <w:rsid w:val="19262B55"/>
    <w:rsid w:val="1BE6112E"/>
    <w:rsid w:val="1C627327"/>
    <w:rsid w:val="1CB00CB6"/>
    <w:rsid w:val="21AD4BAE"/>
    <w:rsid w:val="221456E5"/>
    <w:rsid w:val="2436699F"/>
    <w:rsid w:val="24A52FCA"/>
    <w:rsid w:val="258955DB"/>
    <w:rsid w:val="26090AB9"/>
    <w:rsid w:val="2B4262A0"/>
    <w:rsid w:val="2B430BAE"/>
    <w:rsid w:val="2BE222CE"/>
    <w:rsid w:val="2D0D48B7"/>
    <w:rsid w:val="2E1A5879"/>
    <w:rsid w:val="2E821B2F"/>
    <w:rsid w:val="2F757767"/>
    <w:rsid w:val="30DB5145"/>
    <w:rsid w:val="31015BBD"/>
    <w:rsid w:val="327971CA"/>
    <w:rsid w:val="35BB181F"/>
    <w:rsid w:val="35D87520"/>
    <w:rsid w:val="36AC0A71"/>
    <w:rsid w:val="37992DAC"/>
    <w:rsid w:val="38126BDB"/>
    <w:rsid w:val="39B73441"/>
    <w:rsid w:val="39E40528"/>
    <w:rsid w:val="3A6401D0"/>
    <w:rsid w:val="3B604E2B"/>
    <w:rsid w:val="3E3F147E"/>
    <w:rsid w:val="3EEE1637"/>
    <w:rsid w:val="44AC71E3"/>
    <w:rsid w:val="455005EE"/>
    <w:rsid w:val="459D00E8"/>
    <w:rsid w:val="48F52BEA"/>
    <w:rsid w:val="4D0C0565"/>
    <w:rsid w:val="4ECC72E7"/>
    <w:rsid w:val="511D4FF2"/>
    <w:rsid w:val="51D46D9F"/>
    <w:rsid w:val="52236754"/>
    <w:rsid w:val="5296195A"/>
    <w:rsid w:val="55A47791"/>
    <w:rsid w:val="57F034DC"/>
    <w:rsid w:val="58451BBE"/>
    <w:rsid w:val="5CF4716A"/>
    <w:rsid w:val="5D1B22F7"/>
    <w:rsid w:val="5FF434A9"/>
    <w:rsid w:val="60AB3B68"/>
    <w:rsid w:val="61A902A4"/>
    <w:rsid w:val="64BD2ACA"/>
    <w:rsid w:val="665C3CF8"/>
    <w:rsid w:val="690C064F"/>
    <w:rsid w:val="6AFE269C"/>
    <w:rsid w:val="6B2350A6"/>
    <w:rsid w:val="6D301E87"/>
    <w:rsid w:val="6F6E2C29"/>
    <w:rsid w:val="6FFC6A05"/>
    <w:rsid w:val="701E7300"/>
    <w:rsid w:val="72F41EA4"/>
    <w:rsid w:val="738E2FE7"/>
    <w:rsid w:val="740C1D6B"/>
    <w:rsid w:val="76865A7E"/>
    <w:rsid w:val="778B1DFE"/>
    <w:rsid w:val="7A9A786E"/>
    <w:rsid w:val="7C100E4F"/>
    <w:rsid w:val="7F2D7A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spacing w:before="100" w:beforeAutospacing="1" w:after="100" w:afterAutospacing="1"/>
      <w:jc w:val="left"/>
    </w:pPr>
    <w:rPr>
      <w:rFonts w:ascii="宋体" w:hAnsi="宋体" w:cs="Times New Roman"/>
      <w:kern w:val="0"/>
      <w:sz w:val="24"/>
      <w:szCs w:val="20"/>
    </w:rPr>
  </w:style>
  <w:style w:type="character" w:customStyle="1" w:styleId="8">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4583</Words>
  <Characters>272</Characters>
  <Lines>2</Lines>
  <Paragraphs>9</Paragraphs>
  <TotalTime>0</TotalTime>
  <ScaleCrop>false</ScaleCrop>
  <LinksUpToDate>false</LinksUpToDate>
  <CharactersWithSpaces>4846</CharactersWithSpaces>
  <Application>WPS Office_11.1.0.8894_F1E327BC-269C-435d-A152-05C5408002CA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2018-01-23T09:18:00Z</dcterms:created>
  <dc:creator>Administrator</dc:creator>
  <cp:lastModifiedBy>Administrator</cp:lastModifiedBy>
  <dcterms:modified xsi:type="dcterms:W3CDTF">2019-08-14T07:33:46Z</dcterms:modified>
  <cp:revision>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2052-11.1.0.8894</vt:lpwstr>
  </property>
</Properties>
</file>