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bookmarkStart w:id="0" w:name="_GoBack"/>
      <w:r>
        <w:rPr>
          <w:rFonts w:hint="eastAsia" w:eastAsiaTheme="minorEastAsia"/>
          <w:lang w:eastAsia="zh-CN"/>
        </w:rPr>
        <w:drawing>
          <wp:anchor distT="0" distB="0" distL="114300" distR="114300" simplePos="0" relativeHeight="251691008" behindDoc="1" locked="0" layoutInCell="1" allowOverlap="1">
            <wp:simplePos x="0" y="0"/>
            <wp:positionH relativeFrom="column">
              <wp:posOffset>-228600</wp:posOffset>
            </wp:positionH>
            <wp:positionV relativeFrom="paragraph">
              <wp:posOffset>-215265</wp:posOffset>
            </wp:positionV>
            <wp:extent cx="7562215" cy="10692130"/>
            <wp:effectExtent l="0" t="0" r="635" b="13970"/>
            <wp:wrapNone/>
            <wp:docPr id="6" name="图片 6"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9"/>
                    <pic:cNvPicPr>
                      <a:picLocks noChangeAspect="1"/>
                    </pic:cNvPicPr>
                  </pic:nvPicPr>
                  <pic:blipFill>
                    <a:blip r:embed="rId6"/>
                    <a:stretch>
                      <a:fillRect/>
                    </a:stretch>
                  </pic:blipFill>
                  <pic:spPr>
                    <a:xfrm>
                      <a:off x="0" y="0"/>
                      <a:ext cx="7562215" cy="10692130"/>
                    </a:xfrm>
                    <a:prstGeom prst="rect">
                      <a:avLst/>
                    </a:prstGeom>
                  </pic:spPr>
                </pic:pic>
              </a:graphicData>
            </a:graphic>
          </wp:anchor>
        </w:drawing>
      </w:r>
      <w:bookmarkEnd w:id="0"/>
      <w:r>
        <w:rPr>
          <w:rFonts w:hint="eastAsia"/>
        </w:rPr>
        <w:t xml:space="preserve">  </w:t>
      </w:r>
      <w:r>
        <w:br w:type="page"/>
      </w:r>
    </w:p>
    <w:p>
      <w:r>
        <w:drawing>
          <wp:anchor distT="0" distB="0" distL="114300" distR="114300" simplePos="0" relativeHeight="251679744" behindDoc="0" locked="0" layoutInCell="1" allowOverlap="1">
            <wp:simplePos x="0" y="0"/>
            <wp:positionH relativeFrom="column">
              <wp:posOffset>-215900</wp:posOffset>
            </wp:positionH>
            <wp:positionV relativeFrom="paragraph">
              <wp:posOffset>-215900</wp:posOffset>
            </wp:positionV>
            <wp:extent cx="7553960" cy="10683875"/>
            <wp:effectExtent l="0" t="0" r="8890" b="317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3960" cy="10683875"/>
                    </a:xfrm>
                    <a:prstGeom prst="rect">
                      <a:avLst/>
                    </a:prstGeom>
                  </pic:spPr>
                </pic:pic>
              </a:graphicData>
            </a:graphic>
          </wp:anchor>
        </w:drawing>
      </w:r>
      <w:r>
        <w:br w:type="page"/>
      </w:r>
    </w:p>
    <w:p>
      <w:r>
        <w:drawing>
          <wp:anchor distT="0" distB="0" distL="114300" distR="114300" simplePos="0" relativeHeight="251688960" behindDoc="0" locked="0" layoutInCell="1" allowOverlap="1">
            <wp:simplePos x="0" y="0"/>
            <wp:positionH relativeFrom="column">
              <wp:posOffset>-215900</wp:posOffset>
            </wp:positionH>
            <wp:positionV relativeFrom="paragraph">
              <wp:posOffset>-213360</wp:posOffset>
            </wp:positionV>
            <wp:extent cx="7571740" cy="10705465"/>
            <wp:effectExtent l="0" t="0" r="0" b="63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1740" cy="10705465"/>
                    </a:xfrm>
                    <a:prstGeom prst="rect">
                      <a:avLst/>
                    </a:prstGeom>
                  </pic:spPr>
                </pic:pic>
              </a:graphicData>
            </a:graphic>
          </wp:anchor>
        </w:drawing>
      </w:r>
      <w:r>
        <w:br w:type="page"/>
      </w:r>
    </w:p>
    <w:p>
      <w:r>
        <w:drawing>
          <wp:anchor distT="0" distB="0" distL="114300" distR="114300" simplePos="0" relativeHeight="251689984" behindDoc="0" locked="0" layoutInCell="1" allowOverlap="1">
            <wp:simplePos x="0" y="0"/>
            <wp:positionH relativeFrom="column">
              <wp:posOffset>-215900</wp:posOffset>
            </wp:positionH>
            <wp:positionV relativeFrom="paragraph">
              <wp:posOffset>-215900</wp:posOffset>
            </wp:positionV>
            <wp:extent cx="7594600" cy="10734675"/>
            <wp:effectExtent l="0" t="0" r="6350"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4600" cy="10734675"/>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863"/>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5"/>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0"/>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摩登希尔顿·海南游</w:t>
            </w:r>
          </w:p>
        </w:tc>
      </w:tr>
      <w:tr>
        <w:tblPrEx>
          <w:tblLayout w:type="fixed"/>
          <w:tblCellMar>
            <w:top w:w="57" w:type="dxa"/>
            <w:left w:w="57" w:type="dxa"/>
            <w:bottom w:w="57" w:type="dxa"/>
            <w:right w:w="57" w:type="dxa"/>
          </w:tblCellMar>
        </w:tblPrEx>
        <w:trPr>
          <w:trHeight w:val="446" w:hRule="atLeast"/>
          <w:jc w:val="center"/>
        </w:trPr>
        <w:tc>
          <w:tcPr>
            <w:tcW w:w="8348" w:type="dxa"/>
            <w:gridSpan w:val="3"/>
            <w:tcBorders>
              <w:bottom w:val="single" w:color="C00000"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C00000"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3"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摩登城堡：</w:t>
            </w:r>
          </w:p>
          <w:p>
            <w:pPr>
              <w:spacing w:line="280" w:lineRule="exact"/>
              <w:rPr>
                <w:rFonts w:ascii="宋体" w:hAnsi="宋体"/>
                <w:sz w:val="20"/>
                <w:szCs w:val="20"/>
              </w:rPr>
            </w:pPr>
            <w:r>
              <w:rPr>
                <w:rFonts w:hint="eastAsia" w:ascii="宋体" w:hAnsi="宋体"/>
                <w:sz w:val="18"/>
                <w:szCs w:val="18"/>
              </w:rPr>
              <w:t>2晚三亚希尔顿花园酒店·花园海景房（或同级酒店），搭配海口当地五星标准酒店，品味度假，尊享品质</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摩登景区：</w:t>
            </w:r>
          </w:p>
          <w:p>
            <w:pPr>
              <w:spacing w:line="280" w:lineRule="exact"/>
              <w:rPr>
                <w:rFonts w:ascii="宋体" w:hAnsi="宋体"/>
                <w:sz w:val="18"/>
                <w:szCs w:val="18"/>
              </w:rPr>
            </w:pPr>
            <w:r>
              <w:rPr>
                <w:rFonts w:hint="eastAsia" w:ascii="宋体" w:hAnsi="宋体"/>
                <w:sz w:val="18"/>
                <w:szCs w:val="18"/>
              </w:rPr>
              <w:t>赠全海景玻璃栈道，亚特兰蒂斯水世界，5A蜈支洲岛、4A天涯海角、4A亚龙湾热带天堂森林公园、千古情景区HOT，轻松行程，深度体验。</w:t>
            </w:r>
          </w:p>
          <w:p>
            <w:pPr>
              <w:spacing w:line="280" w:lineRule="exact"/>
              <w:rPr>
                <w:rFonts w:ascii="宋体" w:hAnsi="宋体"/>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摩登美食：</w:t>
            </w:r>
          </w:p>
          <w:p>
            <w:pPr>
              <w:spacing w:line="280" w:lineRule="exact"/>
              <w:rPr>
                <w:rFonts w:ascii="宋体" w:hAnsi="宋体"/>
                <w:sz w:val="18"/>
                <w:szCs w:val="18"/>
              </w:rPr>
            </w:pPr>
            <w:r>
              <w:rPr>
                <w:rFonts w:hint="eastAsia" w:ascii="宋体" w:hAnsi="宋体"/>
                <w:sz w:val="18"/>
                <w:szCs w:val="18"/>
              </w:rPr>
              <w:t>升级品鉴“蟹鲍海鲜餐1份/人”1次</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接待诚诺：</w:t>
            </w:r>
          </w:p>
          <w:p>
            <w:pPr>
              <w:spacing w:after="156" w:afterLines="50" w:line="280" w:lineRule="exact"/>
              <w:rPr>
                <w:rFonts w:ascii="宋体" w:hAnsi="宋体"/>
                <w:color w:val="C00000"/>
                <w:sz w:val="18"/>
                <w:szCs w:val="18"/>
              </w:rPr>
            </w:pPr>
            <w:r>
              <w:rPr>
                <w:rFonts w:hint="eastAsia" w:ascii="宋体" w:hAnsi="宋体"/>
                <w:sz w:val="18"/>
                <w:szCs w:val="18"/>
              </w:rPr>
              <w:t>0自费：全程不增加任何自费景点和购物店，违约赔付2000元/人（潜水等海上项目和景区内表演、特色项目除外）。</w:t>
            </w:r>
          </w:p>
        </w:tc>
      </w:tr>
      <w:tr>
        <w:tblPrEx>
          <w:tblLayout w:type="fixed"/>
          <w:tblCellMar>
            <w:top w:w="57" w:type="dxa"/>
            <w:left w:w="57" w:type="dxa"/>
            <w:bottom w:w="57" w:type="dxa"/>
            <w:right w:w="57" w:type="dxa"/>
          </w:tblCellMar>
        </w:tblPrEx>
        <w:trPr>
          <w:trHeight w:val="409" w:hRule="atLeast"/>
          <w:jc w:val="center"/>
        </w:trPr>
        <w:tc>
          <w:tcPr>
            <w:tcW w:w="1863" w:type="dxa"/>
            <w:tcBorders>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海口</w:t>
            </w:r>
          </w:p>
        </w:tc>
        <w:tc>
          <w:tcPr>
            <w:tcW w:w="6478" w:type="dxa"/>
            <w:tcBorders>
              <w:bottom w:val="single" w:color="D8D8D8" w:themeColor="background1" w:themeShade="D9" w:sz="4" w:space="0"/>
            </w:tcBorders>
            <w:shd w:val="clear" w:color="auto" w:fill="auto"/>
            <w:vAlign w:val="center"/>
          </w:tcPr>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乘机抵达美丽海南岛，沿途欣赏海岛美景，回酒店休息，期待明天的精彩旅程。</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378" w:hRule="atLeast"/>
          <w:jc w:val="center"/>
        </w:trPr>
        <w:tc>
          <w:tcPr>
            <w:tcW w:w="1863" w:type="dxa"/>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三亚</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spacing w:line="240" w:lineRule="exact"/>
              <w:rPr>
                <w:b/>
                <w:bCs/>
                <w:color w:val="E60044"/>
                <w:sz w:val="18"/>
                <w:szCs w:val="18"/>
              </w:rPr>
            </w:pPr>
            <w:r>
              <w:rPr>
                <w:rFonts w:hint="eastAsia"/>
                <w:color w:val="E60044"/>
                <w:sz w:val="18"/>
                <w:szCs w:val="18"/>
              </w:rPr>
              <w:t>景点安排：</w:t>
            </w:r>
            <w:r>
              <w:rPr>
                <w:rFonts w:hint="eastAsia"/>
                <w:b/>
                <w:bCs/>
                <w:color w:val="E60044"/>
                <w:sz w:val="18"/>
                <w:szCs w:val="18"/>
              </w:rPr>
              <w:t>蜈支洲岛</w:t>
            </w:r>
          </w:p>
          <w:p>
            <w:pPr>
              <w:pStyle w:val="5"/>
              <w:spacing w:before="31" w:beforeLines="10" w:beforeAutospacing="0" w:after="31" w:afterLines="10" w:afterAutospacing="0" w:line="24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180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line="240" w:lineRule="exact"/>
              <w:rPr>
                <w:sz w:val="18"/>
                <w:szCs w:val="18"/>
              </w:rPr>
            </w:pPr>
            <w:r>
              <w:rPr>
                <w:rFonts w:hint="eastAsia" w:ascii="宋体" w:hAnsi="宋体"/>
                <w:color w:val="E60044"/>
                <w:sz w:val="18"/>
                <w:szCs w:val="18"/>
              </w:rPr>
              <w:t>住宿安排：</w:t>
            </w:r>
            <w:r>
              <w:rPr>
                <w:rFonts w:hint="eastAsia"/>
                <w:sz w:val="18"/>
                <w:szCs w:val="18"/>
              </w:rPr>
              <w:t>指定酒店</w:t>
            </w:r>
          </w:p>
          <w:p>
            <w:pPr>
              <w:spacing w:line="24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582" w:hRule="atLeast"/>
          <w:jc w:val="center"/>
        </w:trPr>
        <w:tc>
          <w:tcPr>
            <w:tcW w:w="1863" w:type="dxa"/>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lang w:val="zh-TW"/>
              </w:rPr>
              <w:t>天涯海角</w:t>
            </w:r>
            <w:r>
              <w:rPr>
                <w:rFonts w:hint="eastAsia"/>
                <w:b/>
                <w:bCs/>
                <w:color w:val="E60044"/>
                <w:sz w:val="18"/>
                <w:szCs w:val="18"/>
              </w:rPr>
              <w:t>—赠宋城千古情景区—亚特兰蒂斯水世界</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赠送【宋城千古情】：</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120</w:t>
            </w:r>
            <w:r>
              <w:rPr>
                <w:rFonts w:hint="eastAsia"/>
                <w:color w:val="262626" w:themeColor="text1" w:themeTint="D9"/>
                <w:sz w:val="18"/>
                <w:szCs w:val="18"/>
                <w14:textFill>
                  <w14:solidFill>
                    <w14:schemeClr w14:val="tx1">
                      <w14:lumMod w14:val="85000"/>
                      <w14:lumOff w14:val="15000"/>
                    </w14:schemeClr>
                  </w14:solidFill>
                </w14:textFill>
              </w:rPr>
              <w:t>分钟，不含演出）这里有历史复苏的各种盛筵、精彩的民俗演出、有趣的现场互动、仿佛静止千年的黎村苗寨。</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b/>
                <w:color w:val="262626" w:themeColor="text1" w:themeTint="D9"/>
                <w:sz w:val="18"/>
                <w:szCs w:val="18"/>
                <w14:textFill>
                  <w14:solidFill>
                    <w14:schemeClr w14:val="tx1">
                      <w14:lumMod w14:val="85000"/>
                      <w14:lumOff w14:val="15000"/>
                    </w14:schemeClr>
                  </w14:solidFill>
                </w14:textFill>
              </w:rPr>
              <w:t>【亚特兰蒂斯水世界】：</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（游览时间不少于180分钟）</w:t>
            </w:r>
            <w:r>
              <w:rPr>
                <w:rFonts w:hint="eastAsia"/>
                <w:color w:val="262626" w:themeColor="text1" w:themeTint="D9"/>
                <w:sz w:val="18"/>
                <w:szCs w:val="18"/>
                <w14:textFill>
                  <w14:solidFill>
                    <w14:schemeClr w14:val="tx1">
                      <w14:lumMod w14:val="85000"/>
                      <w14:lumOff w14:val="15000"/>
                    </w14:schemeClr>
                  </w14:solidFill>
                </w14:textFill>
              </w:rPr>
              <w:t>按照国际领先标准建造，拥有目前世界最先进的设备，其滑道总长达到</w:t>
            </w:r>
            <w:r>
              <w:rPr>
                <w:color w:val="262626" w:themeColor="text1" w:themeTint="D9"/>
                <w:sz w:val="18"/>
                <w:szCs w:val="18"/>
                <w14:textFill>
                  <w14:solidFill>
                    <w14:schemeClr w14:val="tx1">
                      <w14:lumMod w14:val="85000"/>
                      <w14:lumOff w14:val="15000"/>
                    </w14:schemeClr>
                  </w14:solidFill>
                </w14:textFill>
              </w:rPr>
              <w:t xml:space="preserve"> 2510 </w:t>
            </w:r>
            <w:r>
              <w:rPr>
                <w:rFonts w:hint="eastAsia"/>
                <w:color w:val="262626" w:themeColor="text1" w:themeTint="D9"/>
                <w:sz w:val="18"/>
                <w:szCs w:val="18"/>
                <w14:textFill>
                  <w14:solidFill>
                    <w14:schemeClr w14:val="tx1">
                      <w14:lumMod w14:val="85000"/>
                      <w14:lumOff w14:val="15000"/>
                    </w14:schemeClr>
                  </w14:solidFill>
                </w14:textFill>
              </w:rPr>
              <w:t>米，园区占地超过</w:t>
            </w:r>
            <w:r>
              <w:rPr>
                <w:color w:val="262626" w:themeColor="text1" w:themeTint="D9"/>
                <w:sz w:val="18"/>
                <w:szCs w:val="18"/>
                <w14:textFill>
                  <w14:solidFill>
                    <w14:schemeClr w14:val="tx1">
                      <w14:lumMod w14:val="85000"/>
                      <w14:lumOff w14:val="15000"/>
                    </w14:schemeClr>
                  </w14:solidFill>
                </w14:textFill>
              </w:rPr>
              <w:t>20</w:t>
            </w:r>
            <w:r>
              <w:rPr>
                <w:rFonts w:hint="eastAsia"/>
                <w:color w:val="262626" w:themeColor="text1" w:themeTint="D9"/>
                <w:sz w:val="18"/>
                <w:szCs w:val="18"/>
                <w14:textFill>
                  <w14:solidFill>
                    <w14:schemeClr w14:val="tx1">
                      <w14:lumMod w14:val="85000"/>
                      <w14:lumOff w14:val="15000"/>
                    </w14:schemeClr>
                  </w14:solidFill>
                </w14:textFill>
              </w:rPr>
              <w:t>万平方米，吃喝玩一站式体验，嗨到根本就停不下来！（如遇身体不适等特殊情况，则更改为参观</w:t>
            </w:r>
            <w:r>
              <w:rPr>
                <w:rFonts w:hint="eastAsia"/>
                <w:b/>
                <w:color w:val="262626" w:themeColor="text1" w:themeTint="D9"/>
                <w:sz w:val="18"/>
                <w:szCs w:val="18"/>
                <w14:textFill>
                  <w14:solidFill>
                    <w14:schemeClr w14:val="tx1">
                      <w14:lumMod w14:val="85000"/>
                      <w14:lumOff w14:val="15000"/>
                    </w14:schemeClr>
                  </w14:solidFill>
                </w14:textFill>
              </w:rPr>
              <w:t>亚特兰蒂斯水族馆</w:t>
            </w:r>
            <w:r>
              <w:rPr>
                <w:rFonts w:hint="eastAsia"/>
                <w:color w:val="262626" w:themeColor="text1" w:themeTint="D9"/>
                <w:sz w:val="18"/>
                <w:szCs w:val="18"/>
                <w14:textFill>
                  <w14:solidFill>
                    <w14:schemeClr w14:val="tx1">
                      <w14:lumMod w14:val="85000"/>
                      <w14:lumOff w14:val="15000"/>
                    </w14:schemeClr>
                  </w14:solidFill>
                </w14:textFill>
              </w:rPr>
              <w:t>）。</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277" w:hRule="atLeast"/>
          <w:jc w:val="center"/>
        </w:trPr>
        <w:tc>
          <w:tcPr>
            <w:tcW w:w="1863" w:type="dxa"/>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 &gt;&gt; 海口</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spacing w:line="250" w:lineRule="exact"/>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美丽商城—亚龙湾天堂森林公园（赠全海景玻璃栈道）—热带农业示范基地</w:t>
            </w:r>
          </w:p>
          <w:p>
            <w:pPr>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（游览不少于150分钟）“面朝大海，背靠青山，四季花开。”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before="31" w:beforeLines="10" w:after="31" w:afterLines="10"/>
              <w:rPr>
                <w:color w:val="262626" w:themeColor="text1" w:themeTint="D9"/>
                <w:sz w:val="18"/>
                <w:szCs w:val="18"/>
                <w14:textFill>
                  <w14:solidFill>
                    <w14:schemeClr w14:val="tx1">
                      <w14:lumMod w14:val="85000"/>
                      <w14:lumOff w14:val="15000"/>
                    </w14:schemeClr>
                  </w14:solidFill>
                </w14:textFill>
              </w:rPr>
            </w:pPr>
            <w:r>
              <w:rPr>
                <w:rFonts w:hint="eastAsia" w:asciiTheme="minorEastAsia" w:hAnsiTheme="minorEastAsia"/>
                <w:sz w:val="18"/>
                <w:szCs w:val="18"/>
              </w:rPr>
              <w:t>NEW打卡圣地：赠送体验·网红都还没来得及体验的全国首个“</w:t>
            </w:r>
            <w:r>
              <w:rPr>
                <w:rFonts w:hint="eastAsia" w:asciiTheme="minorEastAsia" w:hAnsiTheme="minorEastAsia"/>
                <w:b/>
                <w:sz w:val="18"/>
                <w:szCs w:val="18"/>
              </w:rPr>
              <w:t>全海景玻璃栈道</w:t>
            </w:r>
            <w:r>
              <w:rPr>
                <w:rFonts w:hint="eastAsia" w:asciiTheme="minorEastAsia" w:hAnsiTheme="minorEastAsia"/>
                <w:sz w:val="18"/>
                <w:szCs w:val="18"/>
              </w:rPr>
              <w:t>”， 站在上面仿佛凌空行走，脚下被大片热带绿植环抱，眼前是宽阔蔚蓝的大海，如此美景快上抖音发起挑战吧！</w:t>
            </w:r>
          </w:p>
          <w:p>
            <w:pPr>
              <w:spacing w:line="25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分钟），在这里了解海南独特的天然橡胶文化，秉承“科技、环保、健康、时尚”的理念，精湛制作各种工艺产品，打造轻松休闲的生活方式。</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171" w:hRule="atLeast"/>
          <w:jc w:val="center"/>
        </w:trPr>
        <w:tc>
          <w:tcPr>
            <w:tcW w:w="1863" w:type="dxa"/>
            <w:tcBorders>
              <w:top w:val="single" w:color="D8D8D8" w:themeColor="background1" w:themeShade="D9" w:sz="4" w:space="0"/>
            </w:tcBorders>
            <w:shd w:val="clear" w:color="auto" w:fill="auto"/>
          </w:tcPr>
          <w:p>
            <w:pPr>
              <w:spacing w:line="160" w:lineRule="atLeas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160" w:lineRule="atLeas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温馨的家</w:t>
            </w:r>
          </w:p>
        </w:tc>
        <w:tc>
          <w:tcPr>
            <w:tcW w:w="6478" w:type="dxa"/>
            <w:tcBorders>
              <w:top w:val="single" w:color="D8D8D8" w:themeColor="background1" w:themeShade="D9" w:sz="4" w:space="0"/>
            </w:tcBorders>
            <w:shd w:val="clear" w:color="auto" w:fill="auto"/>
            <w:vAlign w:val="center"/>
          </w:tcPr>
          <w:p>
            <w:pPr>
              <w:spacing w:before="31" w:beforeLines="10" w:after="31" w:afterLines="10" w:line="274" w:lineRule="exact"/>
              <w:rPr>
                <w:sz w:val="18"/>
                <w:szCs w:val="18"/>
                <w:lang w:val="zh-TW"/>
              </w:rPr>
            </w:pPr>
            <w:r>
              <w:rPr>
                <w:rFonts w:hint="eastAsia"/>
                <w:sz w:val="18"/>
                <w:szCs w:val="18"/>
                <w:lang w:val="zh-TW"/>
              </w:rPr>
              <w:t>专人送机，乘机返回温馨家园（酒店退房时间为中午</w:t>
            </w:r>
            <w:r>
              <w:rPr>
                <w:sz w:val="18"/>
                <w:szCs w:val="18"/>
                <w:lang w:val="zh-TW"/>
              </w:rPr>
              <w:t>12</w:t>
            </w:r>
            <w:r>
              <w:rPr>
                <w:rFonts w:hint="eastAsia"/>
                <w:sz w:val="18"/>
                <w:szCs w:val="18"/>
                <w:lang w:val="zh-TW"/>
              </w:rPr>
              <w:t>点前）。</w:t>
            </w:r>
          </w:p>
          <w:p>
            <w:pPr>
              <w:spacing w:before="31" w:beforeLines="10" w:after="31" w:afterLines="10" w:line="274"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spacing w:before="31" w:beforeLines="10" w:after="31" w:afterLines="10" w:line="274" w:lineRule="exact"/>
              <w:rPr>
                <w:sz w:val="18"/>
                <w:szCs w:val="18"/>
                <w:lang w:val="zh-TW"/>
              </w:rPr>
            </w:pPr>
          </w:p>
          <w:p>
            <w:pPr>
              <w:spacing w:before="31" w:beforeLines="10" w:after="31" w:afterLines="10" w:line="274" w:lineRule="exact"/>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bl>
    <w:p>
      <w:r>
        <w:br w:type="page"/>
      </w:r>
    </w:p>
    <w:tbl>
      <w:tblPr>
        <w:tblStyle w:val="6"/>
        <w:tblW w:w="11225" w:type="dxa"/>
        <w:jc w:val="center"/>
        <w:tblInd w:w="0" w:type="dxa"/>
        <w:tblLayout w:type="fixed"/>
        <w:tblCellMar>
          <w:top w:w="113" w:type="dxa"/>
          <w:left w:w="57" w:type="dxa"/>
          <w:bottom w:w="113" w:type="dxa"/>
          <w:right w:w="57" w:type="dxa"/>
        </w:tblCellMar>
      </w:tblPr>
      <w:tblGrid>
        <w:gridCol w:w="1689"/>
        <w:gridCol w:w="9536"/>
      </w:tblGrid>
      <w:tr>
        <w:tblPrEx>
          <w:tblLayout w:type="fixed"/>
          <w:tblCellMar>
            <w:top w:w="113" w:type="dxa"/>
            <w:left w:w="57" w:type="dxa"/>
            <w:bottom w:w="113" w:type="dxa"/>
            <w:right w:w="57" w:type="dxa"/>
          </w:tblCellMar>
        </w:tblPrEx>
        <w:trPr>
          <w:trHeight w:val="270" w:hRule="atLeast"/>
          <w:jc w:val="center"/>
        </w:trPr>
        <w:tc>
          <w:tcPr>
            <w:tcW w:w="11225" w:type="dxa"/>
            <w:gridSpan w:val="2"/>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费用包含</w:t>
            </w:r>
          </w:p>
        </w:tc>
      </w:tr>
      <w:tr>
        <w:tblPrEx>
          <w:tblLayout w:type="fixed"/>
          <w:tblCellMar>
            <w:top w:w="113" w:type="dxa"/>
            <w:left w:w="57" w:type="dxa"/>
            <w:bottom w:w="113" w:type="dxa"/>
            <w:right w:w="57" w:type="dxa"/>
          </w:tblCellMar>
        </w:tblPrEx>
        <w:trPr>
          <w:trHeight w:val="2382" w:hRule="atLeast"/>
          <w:jc w:val="center"/>
        </w:trPr>
        <w:tc>
          <w:tcPr>
            <w:tcW w:w="11225" w:type="dxa"/>
            <w:gridSpan w:val="2"/>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sz w:val="18"/>
                <w:szCs w:val="18"/>
              </w:rPr>
              <w:t>2晚三亚希尔顿花园酒店花园海景房，搭配海口指定酒店</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3</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正4早，正餐标</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3</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0元/人/餐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r>
              <w:rPr>
                <w:rFonts w:hint="eastAsia" w:ascii="宋体" w:hAnsi="宋体"/>
                <w:sz w:val="18"/>
                <w:szCs w:val="18"/>
              </w:rPr>
              <w:t>升级品鉴“蟹鲍海鲜餐1份/人”1次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14:textFill>
                  <w14:solidFill>
                    <w14:schemeClr w14:val="tx1">
                      <w14:lumMod w14:val="85000"/>
                      <w14:lumOff w14:val="15000"/>
                    </w14:schemeClr>
                  </w14:solidFill>
                </w14:textFill>
              </w:rPr>
              <w:t>亚特兰蒂斯水世界·儿童费用参考：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0.9米以下儿童免费，0.9米以上按成人收费；</w:t>
            </w:r>
          </w:p>
          <w:p>
            <w:pPr>
              <w:spacing w:before="93" w:beforeLines="30" w:after="93" w:afterLines="30" w:line="240" w:lineRule="exact"/>
              <w:jc w:val="left"/>
              <w:rPr>
                <w:rFonts w:ascii="宋体" w:hAnsi="宋体" w:eastAsia="宋体" w:cs="宋体"/>
                <w:b/>
                <w:color w:val="262626" w:themeColor="text1" w:themeTint="D9"/>
                <w:sz w:val="18"/>
                <w:szCs w:val="18"/>
                <w:lang w:val="zh-TW"/>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lang w:val="zh-TW" w:eastAsia="zh-TW"/>
                <w14:textFill>
                  <w14:solidFill>
                    <w14:schemeClr w14:val="tx1">
                      <w14:lumMod w14:val="85000"/>
                      <w14:lumOff w14:val="15000"/>
                    </w14:schemeClr>
                  </w14:solidFill>
                </w14:textFill>
              </w:rPr>
              <w:t>指定酒店儿童早餐价格参考：</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三亚希尔顿花园酒店：成人早餐138元/人，1.2米以下儿童免费早餐，1.2-1.4米以下69元/人，1.4米以上成人价</w:t>
            </w:r>
          </w:p>
        </w:tc>
      </w:tr>
      <w:tr>
        <w:tblPrEx>
          <w:tblLayout w:type="fixed"/>
          <w:tblCellMar>
            <w:top w:w="113" w:type="dxa"/>
            <w:left w:w="57" w:type="dxa"/>
            <w:bottom w:w="113" w:type="dxa"/>
            <w:right w:w="57" w:type="dxa"/>
          </w:tblCellMar>
        </w:tblPrEx>
        <w:trPr>
          <w:trHeight w:val="452" w:hRule="atLeast"/>
          <w:jc w:val="center"/>
        </w:trPr>
        <w:tc>
          <w:tcPr>
            <w:tcW w:w="11225" w:type="dxa"/>
            <w:gridSpan w:val="2"/>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酒店说明</w:t>
            </w:r>
          </w:p>
        </w:tc>
      </w:tr>
      <w:tr>
        <w:tblPrEx>
          <w:tblLayout w:type="fixed"/>
          <w:tblCellMar>
            <w:top w:w="113" w:type="dxa"/>
            <w:left w:w="57" w:type="dxa"/>
            <w:bottom w:w="113" w:type="dxa"/>
            <w:right w:w="57" w:type="dxa"/>
          </w:tblCellMar>
        </w:tblPrEx>
        <w:trPr>
          <w:trHeight w:val="213"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175"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凯宾康年、巨制荷泰、维纳斯、绿地Q酒店、美兰机场酒店、新燕泰、诺富特、宝华</w:t>
            </w:r>
          </w:p>
        </w:tc>
      </w:tr>
      <w:tr>
        <w:tblPrEx>
          <w:tblLayout w:type="fixed"/>
          <w:tblCellMar>
            <w:top w:w="113" w:type="dxa"/>
            <w:left w:w="57" w:type="dxa"/>
            <w:bottom w:w="113" w:type="dxa"/>
            <w:right w:w="57" w:type="dxa"/>
          </w:tblCellMar>
        </w:tblPrEx>
        <w:trPr>
          <w:trHeight w:val="175"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希尔顿花园酒店、大东海酒店、洛克铂金、京海假日、海韵、三亚湾假日</w:t>
            </w:r>
          </w:p>
        </w:tc>
      </w:tr>
      <w:tr>
        <w:tblPrEx>
          <w:tblLayout w:type="fixed"/>
          <w:tblCellMar>
            <w:top w:w="113" w:type="dxa"/>
            <w:left w:w="57" w:type="dxa"/>
            <w:bottom w:w="113" w:type="dxa"/>
            <w:right w:w="57" w:type="dxa"/>
          </w:tblCellMar>
        </w:tblPrEx>
        <w:trPr>
          <w:trHeight w:val="596" w:hRule="atLeast"/>
          <w:jc w:val="center"/>
        </w:trPr>
        <w:tc>
          <w:tcPr>
            <w:tcW w:w="11225" w:type="dxa"/>
            <w:gridSpan w:val="2"/>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注：1、如遇旺季酒店房型售罄或酒店会议、政府活动占用等情形，我社将会升级至不低于以上所列标准的同类型酒店；2、夫妻情侣可根据房态免费申请大床，需要报名时确认申请；敬请谅解。</w:t>
            </w:r>
          </w:p>
          <w:tbl>
            <w:tblPr>
              <w:tblStyle w:val="6"/>
              <w:tblW w:w="11225" w:type="dxa"/>
              <w:jc w:val="center"/>
              <w:tblInd w:w="0" w:type="dxa"/>
              <w:tblLayout w:type="fixed"/>
              <w:tblCellMar>
                <w:top w:w="113" w:type="dxa"/>
                <w:left w:w="57" w:type="dxa"/>
                <w:bottom w:w="113" w:type="dxa"/>
                <w:right w:w="57" w:type="dxa"/>
              </w:tblCellMar>
            </w:tblPr>
            <w:tblGrid>
              <w:gridCol w:w="1188"/>
              <w:gridCol w:w="10037"/>
            </w:tblGrid>
            <w:tr>
              <w:tblPrEx>
                <w:tblLayout w:type="fixed"/>
                <w:tblCellMar>
                  <w:top w:w="113" w:type="dxa"/>
                  <w:left w:w="57" w:type="dxa"/>
                  <w:bottom w:w="113" w:type="dxa"/>
                  <w:right w:w="57" w:type="dxa"/>
                </w:tblCellMar>
              </w:tblPrEx>
              <w:trPr>
                <w:trHeight w:val="513" w:hRule="atLeast"/>
                <w:jc w:val="center"/>
              </w:trPr>
              <w:tc>
                <w:tcPr>
                  <w:tcW w:w="11225" w:type="dxa"/>
                  <w:gridSpan w:val="2"/>
                  <w:tcBorders>
                    <w:bottom w:val="single" w:color="E60044" w:sz="4" w:space="0"/>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餐饮说明 </w:t>
                  </w:r>
                </w:p>
              </w:tc>
            </w:tr>
            <w:tr>
              <w:tblPrEx>
                <w:tblLayout w:type="fixed"/>
                <w:tblCellMar>
                  <w:top w:w="113" w:type="dxa"/>
                  <w:left w:w="57" w:type="dxa"/>
                  <w:bottom w:w="113" w:type="dxa"/>
                  <w:right w:w="57" w:type="dxa"/>
                </w:tblCellMar>
              </w:tblPrEx>
              <w:trPr>
                <w:trHeight w:val="248" w:hRule="atLeast"/>
                <w:jc w:val="center"/>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蟹鲍海鲜餐1份/人</w:t>
                  </w:r>
                </w:p>
              </w:tc>
              <w:tc>
                <w:tcPr>
                  <w:tcW w:w="10037" w:type="dxa"/>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jc w:val="left"/>
                    <w:rPr>
                      <w:sz w:val="18"/>
                      <w:szCs w:val="18"/>
                    </w:rPr>
                  </w:pPr>
                  <w:r>
                    <w:rPr>
                      <w:rFonts w:hint="eastAsia"/>
                      <w:sz w:val="18"/>
                      <w:szCs w:val="18"/>
                    </w:rPr>
                    <w:t>野生南海鲍鱼（2只）、野生和乐蟹（1只）、野生大海虾（2只）、粉丝蒸扇贝（2个）、粉丝蒸带子（2只）、白灼沙包螺、白灼鸡腿螺、白灼花螺、红酒1杯/人、鸡油饭1晚/人、小菜一份、水果一份</w:t>
                  </w:r>
                </w:p>
              </w:tc>
            </w:tr>
          </w:tbl>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PrEx>
        <w:trPr>
          <w:trHeight w:val="203"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补充说明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12、我社郑重承诺本线路全程白天晚上均不推其他自费景点及项目，不增加任何购物店，但不适用于游客自行自愿所选择的：</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景区内交通工具及特色演出、特色项目，海上自愿娱乐项目</w:t>
            </w:r>
            <w:r>
              <w:rPr>
                <w:rFonts w:hint="eastAsia" w:asciiTheme="minorEastAsia" w:hAnsiTheme="minorEastAsia" w:cstheme="minorEastAsia"/>
                <w:sz w:val="18"/>
                <w:szCs w:val="21"/>
              </w:rPr>
              <w:t>（</w:t>
            </w:r>
            <w:r>
              <w:rPr>
                <w:rFonts w:hint="eastAsia" w:asciiTheme="minorEastAsia" w:hAnsiTheme="minorEastAsia" w:cstheme="minorEastAsia"/>
                <w:b/>
                <w:sz w:val="18"/>
                <w:szCs w:val="21"/>
              </w:rPr>
              <w:t>千古情演出300元/人、三亚海昌梦幻海洋不夜城摩天轮80元/人、三亚海昌梦幻海洋不夜城飞行影院120元/人</w:t>
            </w:r>
            <w:r>
              <w:rPr>
                <w:rFonts w:hint="eastAsia" w:asciiTheme="minorEastAsia" w:hAnsiTheme="minorEastAsia" w:cstheme="minorEastAsia"/>
                <w:sz w:val="18"/>
                <w:szCs w:val="21"/>
              </w:rPr>
              <w:t>，实际价格请以运营商公布为准）。“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052BA"/>
    <w:rsid w:val="0001212C"/>
    <w:rsid w:val="000136A2"/>
    <w:rsid w:val="00023C3B"/>
    <w:rsid w:val="00042FA4"/>
    <w:rsid w:val="00055B7A"/>
    <w:rsid w:val="00080280"/>
    <w:rsid w:val="000B57F6"/>
    <w:rsid w:val="000B7687"/>
    <w:rsid w:val="000C2D45"/>
    <w:rsid w:val="000D4D56"/>
    <w:rsid w:val="000E0E0E"/>
    <w:rsid w:val="000E6F00"/>
    <w:rsid w:val="001215B6"/>
    <w:rsid w:val="00161232"/>
    <w:rsid w:val="001649B2"/>
    <w:rsid w:val="001836B3"/>
    <w:rsid w:val="001848FA"/>
    <w:rsid w:val="001A5209"/>
    <w:rsid w:val="001A536C"/>
    <w:rsid w:val="001B3ADC"/>
    <w:rsid w:val="001B7C6C"/>
    <w:rsid w:val="001D3C35"/>
    <w:rsid w:val="001E70E5"/>
    <w:rsid w:val="00246D98"/>
    <w:rsid w:val="0026216F"/>
    <w:rsid w:val="00294FBF"/>
    <w:rsid w:val="002950DF"/>
    <w:rsid w:val="002C3422"/>
    <w:rsid w:val="002D297E"/>
    <w:rsid w:val="002D2FC6"/>
    <w:rsid w:val="002D3B1C"/>
    <w:rsid w:val="00310CC0"/>
    <w:rsid w:val="00316331"/>
    <w:rsid w:val="00322CEE"/>
    <w:rsid w:val="00324C8A"/>
    <w:rsid w:val="00341067"/>
    <w:rsid w:val="00367F6D"/>
    <w:rsid w:val="00384FC6"/>
    <w:rsid w:val="003932B5"/>
    <w:rsid w:val="003B01A0"/>
    <w:rsid w:val="003B0E4B"/>
    <w:rsid w:val="003B4C89"/>
    <w:rsid w:val="00435849"/>
    <w:rsid w:val="004404E7"/>
    <w:rsid w:val="00444E97"/>
    <w:rsid w:val="00463557"/>
    <w:rsid w:val="00473CE0"/>
    <w:rsid w:val="00474B5E"/>
    <w:rsid w:val="004B705B"/>
    <w:rsid w:val="004F16F9"/>
    <w:rsid w:val="00511B5A"/>
    <w:rsid w:val="00517CEA"/>
    <w:rsid w:val="00532E3B"/>
    <w:rsid w:val="0053504E"/>
    <w:rsid w:val="00542864"/>
    <w:rsid w:val="0055222D"/>
    <w:rsid w:val="005606F9"/>
    <w:rsid w:val="005805A8"/>
    <w:rsid w:val="005C36E2"/>
    <w:rsid w:val="005C437F"/>
    <w:rsid w:val="005E7F9C"/>
    <w:rsid w:val="00601F60"/>
    <w:rsid w:val="00607267"/>
    <w:rsid w:val="00615F52"/>
    <w:rsid w:val="0061791F"/>
    <w:rsid w:val="0062798A"/>
    <w:rsid w:val="006319BE"/>
    <w:rsid w:val="006501A2"/>
    <w:rsid w:val="00663E26"/>
    <w:rsid w:val="006A20C4"/>
    <w:rsid w:val="006A7574"/>
    <w:rsid w:val="006B6BC0"/>
    <w:rsid w:val="006C325C"/>
    <w:rsid w:val="006C37F9"/>
    <w:rsid w:val="006C388D"/>
    <w:rsid w:val="00722E29"/>
    <w:rsid w:val="00751C18"/>
    <w:rsid w:val="00754435"/>
    <w:rsid w:val="007605D7"/>
    <w:rsid w:val="00780BF5"/>
    <w:rsid w:val="00780F81"/>
    <w:rsid w:val="007A3C8D"/>
    <w:rsid w:val="007A4991"/>
    <w:rsid w:val="007E1AC6"/>
    <w:rsid w:val="007F6BD4"/>
    <w:rsid w:val="007F7960"/>
    <w:rsid w:val="00820CE5"/>
    <w:rsid w:val="00836F71"/>
    <w:rsid w:val="00850BF9"/>
    <w:rsid w:val="00871216"/>
    <w:rsid w:val="00890E94"/>
    <w:rsid w:val="008B7CE8"/>
    <w:rsid w:val="008C2861"/>
    <w:rsid w:val="008C2FE6"/>
    <w:rsid w:val="0090597A"/>
    <w:rsid w:val="00965DDE"/>
    <w:rsid w:val="00970D7F"/>
    <w:rsid w:val="00971E48"/>
    <w:rsid w:val="00984B67"/>
    <w:rsid w:val="009862F6"/>
    <w:rsid w:val="00995EC9"/>
    <w:rsid w:val="009B433C"/>
    <w:rsid w:val="009C0BCC"/>
    <w:rsid w:val="009E0574"/>
    <w:rsid w:val="00A16405"/>
    <w:rsid w:val="00A2481A"/>
    <w:rsid w:val="00A37FF1"/>
    <w:rsid w:val="00A56508"/>
    <w:rsid w:val="00A769EE"/>
    <w:rsid w:val="00A9319F"/>
    <w:rsid w:val="00A9639B"/>
    <w:rsid w:val="00AA3285"/>
    <w:rsid w:val="00AA46E0"/>
    <w:rsid w:val="00AB411B"/>
    <w:rsid w:val="00AB4229"/>
    <w:rsid w:val="00AE038F"/>
    <w:rsid w:val="00AE4000"/>
    <w:rsid w:val="00AF18A5"/>
    <w:rsid w:val="00B00838"/>
    <w:rsid w:val="00B30C1E"/>
    <w:rsid w:val="00B4309D"/>
    <w:rsid w:val="00B462EC"/>
    <w:rsid w:val="00B55630"/>
    <w:rsid w:val="00BE0C91"/>
    <w:rsid w:val="00BF0D67"/>
    <w:rsid w:val="00BF1AED"/>
    <w:rsid w:val="00BF4567"/>
    <w:rsid w:val="00BF6553"/>
    <w:rsid w:val="00C02203"/>
    <w:rsid w:val="00C0662E"/>
    <w:rsid w:val="00C14494"/>
    <w:rsid w:val="00C24052"/>
    <w:rsid w:val="00C30C88"/>
    <w:rsid w:val="00C4350F"/>
    <w:rsid w:val="00C56860"/>
    <w:rsid w:val="00C76D79"/>
    <w:rsid w:val="00C8453E"/>
    <w:rsid w:val="00C85690"/>
    <w:rsid w:val="00C878BC"/>
    <w:rsid w:val="00CB3350"/>
    <w:rsid w:val="00CB5A6F"/>
    <w:rsid w:val="00CD1C10"/>
    <w:rsid w:val="00CD3561"/>
    <w:rsid w:val="00CE1FE2"/>
    <w:rsid w:val="00CF6000"/>
    <w:rsid w:val="00D01D2B"/>
    <w:rsid w:val="00D06286"/>
    <w:rsid w:val="00D11F44"/>
    <w:rsid w:val="00D22FF6"/>
    <w:rsid w:val="00D4094C"/>
    <w:rsid w:val="00D43E3F"/>
    <w:rsid w:val="00D511FC"/>
    <w:rsid w:val="00D518A6"/>
    <w:rsid w:val="00D664F5"/>
    <w:rsid w:val="00D75707"/>
    <w:rsid w:val="00DE32ED"/>
    <w:rsid w:val="00DE5F68"/>
    <w:rsid w:val="00DF5895"/>
    <w:rsid w:val="00E16440"/>
    <w:rsid w:val="00E24038"/>
    <w:rsid w:val="00E627C6"/>
    <w:rsid w:val="00E91B09"/>
    <w:rsid w:val="00EC0CF6"/>
    <w:rsid w:val="00EC356B"/>
    <w:rsid w:val="00EC52E0"/>
    <w:rsid w:val="00F06DE7"/>
    <w:rsid w:val="00F10CB4"/>
    <w:rsid w:val="00F20973"/>
    <w:rsid w:val="00F43B6B"/>
    <w:rsid w:val="00F56D6E"/>
    <w:rsid w:val="00F61BAF"/>
    <w:rsid w:val="00F71B17"/>
    <w:rsid w:val="00F757EE"/>
    <w:rsid w:val="00F776DD"/>
    <w:rsid w:val="00F847BF"/>
    <w:rsid w:val="00F9523C"/>
    <w:rsid w:val="00FC002F"/>
    <w:rsid w:val="00FC1433"/>
    <w:rsid w:val="00FC3401"/>
    <w:rsid w:val="00FC4253"/>
    <w:rsid w:val="00FC5D25"/>
    <w:rsid w:val="00FF2840"/>
    <w:rsid w:val="01786AC3"/>
    <w:rsid w:val="02E8169C"/>
    <w:rsid w:val="05EA05B9"/>
    <w:rsid w:val="060B3707"/>
    <w:rsid w:val="07EB79D6"/>
    <w:rsid w:val="08A73B07"/>
    <w:rsid w:val="09956601"/>
    <w:rsid w:val="0B952A4F"/>
    <w:rsid w:val="0BA115A6"/>
    <w:rsid w:val="0D6367E4"/>
    <w:rsid w:val="10601B8A"/>
    <w:rsid w:val="14DD2A45"/>
    <w:rsid w:val="150A19EE"/>
    <w:rsid w:val="15B711EC"/>
    <w:rsid w:val="17335D53"/>
    <w:rsid w:val="17784F52"/>
    <w:rsid w:val="17C82FF6"/>
    <w:rsid w:val="19AC2213"/>
    <w:rsid w:val="1C627327"/>
    <w:rsid w:val="20AA2152"/>
    <w:rsid w:val="221456E5"/>
    <w:rsid w:val="225D208B"/>
    <w:rsid w:val="2436699F"/>
    <w:rsid w:val="258955DB"/>
    <w:rsid w:val="281818F4"/>
    <w:rsid w:val="29D5459D"/>
    <w:rsid w:val="2A7F2244"/>
    <w:rsid w:val="2B4262A0"/>
    <w:rsid w:val="2BE222CE"/>
    <w:rsid w:val="2C644E5F"/>
    <w:rsid w:val="2D0D48B7"/>
    <w:rsid w:val="2DEB7D19"/>
    <w:rsid w:val="30DB5145"/>
    <w:rsid w:val="31015BBD"/>
    <w:rsid w:val="32E9253F"/>
    <w:rsid w:val="39B73441"/>
    <w:rsid w:val="39E40528"/>
    <w:rsid w:val="3A6401D0"/>
    <w:rsid w:val="40C63115"/>
    <w:rsid w:val="44AC71E3"/>
    <w:rsid w:val="455005EE"/>
    <w:rsid w:val="459D00E8"/>
    <w:rsid w:val="481047CD"/>
    <w:rsid w:val="4A054215"/>
    <w:rsid w:val="4D0C0565"/>
    <w:rsid w:val="4D1F6E36"/>
    <w:rsid w:val="4ECC72E7"/>
    <w:rsid w:val="4F2D7844"/>
    <w:rsid w:val="508B2248"/>
    <w:rsid w:val="511D4FF2"/>
    <w:rsid w:val="52D54F5B"/>
    <w:rsid w:val="52ED35BA"/>
    <w:rsid w:val="534F4535"/>
    <w:rsid w:val="54BD6F2C"/>
    <w:rsid w:val="55A47791"/>
    <w:rsid w:val="58451BBE"/>
    <w:rsid w:val="5A1F4B21"/>
    <w:rsid w:val="5BA37DB5"/>
    <w:rsid w:val="5CF4716A"/>
    <w:rsid w:val="5D1B22F7"/>
    <w:rsid w:val="60AB3B68"/>
    <w:rsid w:val="61A902A4"/>
    <w:rsid w:val="61EA58CC"/>
    <w:rsid w:val="64BD2ACA"/>
    <w:rsid w:val="65B77652"/>
    <w:rsid w:val="66B80760"/>
    <w:rsid w:val="6B7F7D43"/>
    <w:rsid w:val="6BB32CBF"/>
    <w:rsid w:val="6D301E87"/>
    <w:rsid w:val="6F6E2C29"/>
    <w:rsid w:val="6FFC6A05"/>
    <w:rsid w:val="701E7300"/>
    <w:rsid w:val="738E2FE7"/>
    <w:rsid w:val="740C1D6B"/>
    <w:rsid w:val="76052EAE"/>
    <w:rsid w:val="76865A7E"/>
    <w:rsid w:val="778B1DFE"/>
    <w:rsid w:val="7C100E4F"/>
    <w:rsid w:val="7CD32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4353</Words>
  <Characters>285</Characters>
  <Lines>2</Lines>
  <Paragraphs>9</Paragraphs>
  <TotalTime>0</TotalTime>
  <ScaleCrop>false</ScaleCrop>
  <LinksUpToDate>false</LinksUpToDate>
  <CharactersWithSpaces>4629</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2019-08-14T07:48:42Z</dcterms:modified>
  <cp:revision>164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