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趣七仙岭" focussize="0,0" recolor="t" r:id="rId5"/>
    </v:background>
  </w:background>
  <w:body>
    <w:p>
      <w:r>
        <w:drawing>
          <wp:anchor distT="0" distB="0" distL="114300" distR="114300" simplePos="0" relativeHeight="251656192" behindDoc="1" locked="0" layoutInCell="1" allowOverlap="1">
            <wp:simplePos x="0" y="0"/>
            <wp:positionH relativeFrom="margin">
              <wp:posOffset>-258445</wp:posOffset>
            </wp:positionH>
            <wp:positionV relativeFrom="margin">
              <wp:posOffset>-224155</wp:posOffset>
            </wp:positionV>
            <wp:extent cx="7615555" cy="10772140"/>
            <wp:effectExtent l="0" t="0" r="444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15555" cy="10772140"/>
                    </a:xfrm>
                    <a:prstGeom prst="rect">
                      <a:avLst/>
                    </a:prstGeom>
                  </pic:spPr>
                </pic:pic>
              </a:graphicData>
            </a:graphic>
          </wp:anchor>
        </w:drawing>
      </w:r>
      <w:r>
        <w:br w:type="page"/>
      </w:r>
    </w:p>
    <w:p>
      <w:r>
        <w:drawing>
          <wp:anchor distT="0" distB="0" distL="114300" distR="114300" simplePos="0" relativeHeight="251721728" behindDoc="0" locked="0" layoutInCell="1" allowOverlap="1">
            <wp:simplePos x="0" y="0"/>
            <wp:positionH relativeFrom="column">
              <wp:posOffset>-214630</wp:posOffset>
            </wp:positionH>
            <wp:positionV relativeFrom="paragraph">
              <wp:posOffset>-215900</wp:posOffset>
            </wp:positionV>
            <wp:extent cx="7553960" cy="10685780"/>
            <wp:effectExtent l="0" t="0" r="8890" b="127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3960" cy="10685780"/>
                    </a:xfrm>
                    <a:prstGeom prst="rect">
                      <a:avLst/>
                    </a:prstGeom>
                  </pic:spPr>
                </pic:pic>
              </a:graphicData>
            </a:graphic>
          </wp:anchor>
        </w:drawing>
      </w:r>
      <w:r>
        <w:br w:type="page"/>
      </w:r>
    </w:p>
    <w:tbl>
      <w:tblPr>
        <w:tblStyle w:val="6"/>
        <w:tblW w:w="11225" w:type="dxa"/>
        <w:jc w:val="center"/>
        <w:tblInd w:w="0" w:type="dxa"/>
        <w:tblLayout w:type="fixed"/>
        <w:tblCellMar>
          <w:top w:w="57" w:type="dxa"/>
          <w:left w:w="57" w:type="dxa"/>
          <w:bottom w:w="57" w:type="dxa"/>
          <w:right w:w="57" w:type="dxa"/>
        </w:tblCellMar>
      </w:tblPr>
      <w:tblGrid>
        <w:gridCol w:w="1689"/>
        <w:gridCol w:w="174"/>
        <w:gridCol w:w="6478"/>
        <w:gridCol w:w="7"/>
        <w:gridCol w:w="300"/>
        <w:gridCol w:w="2577"/>
      </w:tblGrid>
      <w:tr>
        <w:tblPrEx>
          <w:tblLayout w:type="fixed"/>
          <w:tblCellMar>
            <w:top w:w="57" w:type="dxa"/>
            <w:left w:w="57" w:type="dxa"/>
            <w:bottom w:w="57" w:type="dxa"/>
            <w:right w:w="57" w:type="dxa"/>
          </w:tblCellMar>
        </w:tblPrEx>
        <w:trPr>
          <w:jc w:val="center"/>
        </w:trPr>
        <w:tc>
          <w:tcPr>
            <w:tcW w:w="11225" w:type="dxa"/>
            <w:gridSpan w:val="6"/>
            <w:tcBorders>
              <w:bottom w:val="single" w:color="FFFFFF" w:sz="4" w:space="0"/>
              <w:tl2br w:val="nil"/>
              <w:tr2bl w:val="nil"/>
            </w:tcBorders>
            <w:shd w:val="clear" w:color="auto" w:fill="E60044"/>
          </w:tcPr>
          <w:p>
            <w:pPr>
              <w:jc w:val="center"/>
              <w:rPr>
                <w:rFonts w:ascii="微软雅黑" w:hAnsi="微软雅黑" w:eastAsia="微软雅黑"/>
                <w:b/>
                <w:iCs/>
                <w:color w:val="262626" w:themeColor="text1" w:themeTint="D9"/>
                <w:sz w:val="36"/>
                <w14:textFill>
                  <w14:solidFill>
                    <w14:schemeClr w14:val="tx1">
                      <w14:lumMod w14:val="85000"/>
                      <w14:lumOff w14:val="15000"/>
                    </w14:schemeClr>
                  </w14:solidFill>
                </w14:textFill>
              </w:rPr>
            </w:pPr>
            <w:r>
              <w:rPr>
                <w:rFonts w:hint="eastAsia" w:ascii="微软雅黑" w:hAnsi="微软雅黑" w:eastAsia="微软雅黑"/>
                <w:b/>
                <w:iCs/>
                <w:color w:val="FFFFFF" w:themeColor="background1"/>
                <w:sz w:val="36"/>
                <w14:textFill>
                  <w14:solidFill>
                    <w14:schemeClr w14:val="bg1"/>
                  </w14:solidFill>
                </w14:textFill>
              </w:rPr>
              <w:drawing>
                <wp:anchor distT="0" distB="0" distL="114300" distR="114300" simplePos="0" relativeHeight="251657216" behindDoc="1" locked="0" layoutInCell="1" allowOverlap="1">
                  <wp:simplePos x="0" y="0"/>
                  <wp:positionH relativeFrom="column">
                    <wp:posOffset>-30480</wp:posOffset>
                  </wp:positionH>
                  <wp:positionV relativeFrom="paragraph">
                    <wp:posOffset>-30480</wp:posOffset>
                  </wp:positionV>
                  <wp:extent cx="7127875" cy="469265"/>
                  <wp:effectExtent l="0" t="0" r="15875" b="6985"/>
                  <wp:wrapNone/>
                  <wp:docPr id="2" name="图片 2" descr="趣七仙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趣七仙岭"/>
                          <pic:cNvPicPr>
                            <a:picLocks noChangeAspect="1"/>
                          </pic:cNvPicPr>
                        </pic:nvPicPr>
                        <pic:blipFill>
                          <a:blip r:embed="rId8"/>
                          <a:stretch>
                            <a:fillRect/>
                          </a:stretch>
                        </pic:blipFill>
                        <pic:spPr>
                          <a:xfrm>
                            <a:off x="0" y="0"/>
                            <a:ext cx="7127875" cy="469265"/>
                          </a:xfrm>
                          <a:prstGeom prst="rect">
                            <a:avLst/>
                          </a:prstGeom>
                        </pic:spPr>
                      </pic:pic>
                    </a:graphicData>
                  </a:graphic>
                </wp:anchor>
              </w:drawing>
            </w:r>
            <w:r>
              <w:rPr>
                <w:rFonts w:hint="eastAsia" w:ascii="微软雅黑" w:hAnsi="微软雅黑" w:eastAsia="微软雅黑"/>
                <w:b/>
                <w:iCs/>
                <w:color w:val="FFFFFF" w:themeColor="background1"/>
                <w:sz w:val="36"/>
                <w14:textFill>
                  <w14:solidFill>
                    <w14:schemeClr w14:val="bg1"/>
                  </w14:solidFill>
                </w14:textFill>
              </w:rPr>
              <w:t>海岸风情（海韵版）·海南游</w:t>
            </w:r>
          </w:p>
        </w:tc>
      </w:tr>
      <w:tr>
        <w:tblPrEx>
          <w:tblLayout w:type="fixed"/>
          <w:tblCellMar>
            <w:top w:w="57" w:type="dxa"/>
            <w:left w:w="57" w:type="dxa"/>
            <w:bottom w:w="57" w:type="dxa"/>
            <w:right w:w="57" w:type="dxa"/>
          </w:tblCellMar>
        </w:tblPrEx>
        <w:trPr>
          <w:trHeight w:val="90" w:hRule="atLeast"/>
          <w:jc w:val="center"/>
        </w:trPr>
        <w:tc>
          <w:tcPr>
            <w:tcW w:w="8348" w:type="dxa"/>
            <w:gridSpan w:val="4"/>
            <w:tcBorders>
              <w:bottom w:val="single" w:color="C00000" w:sz="4" w:space="0"/>
              <w:tl2br w:val="nil"/>
              <w:tr2bl w:val="nil"/>
            </w:tcBorders>
            <w:shd w:val="clear" w:color="auto" w:fill="auto"/>
            <w:vAlign w:val="center"/>
          </w:tcPr>
          <w:p>
            <w:pPr>
              <w:jc w:val="left"/>
              <w:rPr>
                <w:color w:val="E60044"/>
              </w:rPr>
            </w:pPr>
            <w:r>
              <w:rPr>
                <w:rFonts w:hint="eastAsia" w:ascii="宋体" w:hAnsi="宋体"/>
                <w:b/>
                <w:color w:val="E60044"/>
                <w:sz w:val="28"/>
                <w:szCs w:val="28"/>
              </w:rPr>
              <w:t>行程安排</w:t>
            </w:r>
          </w:p>
        </w:tc>
        <w:tc>
          <w:tcPr>
            <w:tcW w:w="300" w:type="dxa"/>
            <w:tcBorders>
              <w:top w:val="single" w:color="FFFFFF" w:sz="4" w:space="0"/>
              <w:left w:val="nil"/>
              <w:bottom w:val="single" w:color="FFFFFF" w:sz="4" w:space="0"/>
              <w:tl2br w:val="nil"/>
              <w:tr2bl w:val="nil"/>
            </w:tcBorders>
            <w:shd w:val="clear" w:color="auto" w:fill="auto"/>
            <w:vAlign w:val="center"/>
          </w:tcPr>
          <w:p>
            <w:pPr>
              <w:jc w:val="left"/>
              <w:rPr>
                <w:rFonts w:ascii="宋体" w:hAnsi="宋体"/>
                <w:b/>
                <w:color w:val="C00000"/>
                <w:sz w:val="28"/>
                <w:szCs w:val="28"/>
              </w:rPr>
            </w:pPr>
          </w:p>
        </w:tc>
        <w:tc>
          <w:tcPr>
            <w:tcW w:w="2577" w:type="dxa"/>
            <w:tcBorders>
              <w:bottom w:val="single" w:color="C00000" w:sz="4" w:space="0"/>
              <w:tl2br w:val="nil"/>
              <w:tr2bl w:val="nil"/>
            </w:tcBorders>
            <w:shd w:val="clear" w:color="auto" w:fill="auto"/>
            <w:vAlign w:val="center"/>
          </w:tcPr>
          <w:p>
            <w:pPr>
              <w:jc w:val="left"/>
              <w:rPr>
                <w:rFonts w:ascii="宋体" w:hAnsi="宋体"/>
                <w:b/>
                <w:color w:val="E60044"/>
                <w:sz w:val="28"/>
                <w:szCs w:val="28"/>
              </w:rPr>
            </w:pPr>
            <w:r>
              <w:rPr>
                <w:rFonts w:hint="eastAsia" w:ascii="宋体" w:hAnsi="宋体"/>
                <w:b/>
                <w:color w:val="E60044"/>
                <w:sz w:val="28"/>
                <w:szCs w:val="28"/>
              </w:rPr>
              <w:t>路线特色</w:t>
            </w:r>
          </w:p>
        </w:tc>
      </w:tr>
      <w:tr>
        <w:tblPrEx>
          <w:tblLayout w:type="fixed"/>
          <w:tblCellMar>
            <w:top w:w="57" w:type="dxa"/>
            <w:left w:w="57" w:type="dxa"/>
            <w:bottom w:w="57" w:type="dxa"/>
            <w:right w:w="57" w:type="dxa"/>
          </w:tblCellMar>
        </w:tblPrEx>
        <w:trPr>
          <w:trHeight w:val="90" w:hRule="atLeast"/>
          <w:jc w:val="center"/>
        </w:trPr>
        <w:tc>
          <w:tcPr>
            <w:tcW w:w="1863" w:type="dxa"/>
            <w:gridSpan w:val="2"/>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eastAsia="宋体"/>
                <w:b/>
                <w:bCs/>
                <w:color w:val="262626" w:themeColor="text1" w:themeTint="D9"/>
                <w:szCs w:val="21"/>
                <w14:textFill>
                  <w14:solidFill>
                    <w14:schemeClr w14:val="tx1">
                      <w14:lumMod w14:val="85000"/>
                      <w14:lumOff w14:val="15000"/>
                    </w14:schemeClr>
                  </w14:solidFill>
                </w14:textFill>
              </w:rPr>
            </w:pPr>
            <w:r>
              <w:rPr>
                <w:rFonts w:hint="eastAsia"/>
                <w:b/>
                <w:bCs/>
                <w:color w:val="262626" w:themeColor="text1" w:themeTint="D9"/>
                <w:szCs w:val="21"/>
                <w14:textFill>
                  <w14:solidFill>
                    <w14:schemeClr w14:val="tx1">
                      <w14:lumMod w14:val="85000"/>
                      <w14:lumOff w14:val="15000"/>
                    </w14:schemeClr>
                  </w14:solidFill>
                </w14:textFill>
              </w:rPr>
              <w:t>天数</w:t>
            </w:r>
          </w:p>
        </w:tc>
        <w:tc>
          <w:tcPr>
            <w:tcW w:w="6478" w:type="dxa"/>
            <w:tcBorders>
              <w:top w:val="single" w:color="FFFFFF" w:sz="4" w:space="0"/>
              <w:left w:val="single" w:color="FFFFFF" w:sz="4" w:space="0"/>
              <w:right w:val="single" w:color="FFFFFF" w:sz="4" w:space="0"/>
            </w:tcBorders>
            <w:shd w:val="clear" w:color="auto" w:fill="D0CECE" w:themeFill="background2" w:themeFillShade="E6"/>
            <w:vAlign w:val="center"/>
          </w:tcPr>
          <w:p>
            <w:pPr>
              <w:jc w:val="center"/>
              <w:rPr>
                <w:rFonts w:ascii="宋体" w:hAnsi="宋体" w:eastAsia="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color w:val="262626" w:themeColor="text1" w:themeTint="D9"/>
                <w:szCs w:val="21"/>
                <w14:textFill>
                  <w14:solidFill>
                    <w14:schemeClr w14:val="tx1">
                      <w14:lumMod w14:val="85000"/>
                      <w14:lumOff w14:val="15000"/>
                    </w14:schemeClr>
                  </w14:solidFill>
                </w14:textFill>
              </w:rPr>
              <w:t>细化行程</w:t>
            </w:r>
          </w:p>
        </w:tc>
        <w:tc>
          <w:tcPr>
            <w:tcW w:w="307" w:type="dxa"/>
            <w:gridSpan w:val="2"/>
            <w:vMerge w:val="restart"/>
            <w:tcBorders>
              <w:top w:val="single" w:color="FFFFFF" w:sz="4" w:space="0"/>
              <w:left w:val="single" w:color="FFFFFF" w:sz="4" w:space="0"/>
              <w:bottom w:val="single" w:color="FFFFFF" w:sz="4" w:space="0"/>
              <w:right w:val="single" w:color="FFFFFF" w:sz="4" w:space="0"/>
            </w:tcBorders>
            <w:shd w:val="clear" w:color="auto" w:fill="auto"/>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p>
        </w:tc>
        <w:tc>
          <w:tcPr>
            <w:tcW w:w="2577" w:type="dxa"/>
            <w:vMerge w:val="restart"/>
            <w:tcBorders>
              <w:top w:val="single" w:color="FFFFFF" w:sz="4" w:space="0"/>
              <w:left w:val="single" w:color="FFFFFF" w:sz="4" w:space="0"/>
              <w:right w:val="single" w:color="FFFFFF" w:sz="4" w:space="0"/>
            </w:tcBorders>
            <w:shd w:val="clear" w:color="auto" w:fill="auto"/>
          </w:tcPr>
          <w:p>
            <w:pPr>
              <w:spacing w:before="93" w:beforeLines="30"/>
              <w:rPr>
                <w:rFonts w:ascii="Arial" w:hAnsi="Arial" w:cs="Arial"/>
                <w:b/>
                <w:bCs/>
                <w:color w:val="E60044"/>
                <w:szCs w:val="21"/>
              </w:rPr>
            </w:pPr>
            <w:r>
              <w:rPr>
                <w:rFonts w:hint="eastAsia" w:ascii="Arial" w:hAnsi="Arial" w:cs="Arial"/>
                <w:b/>
                <w:bCs/>
                <w:color w:val="E60044"/>
                <w:szCs w:val="21"/>
              </w:rPr>
              <w:t>住宿标准：</w:t>
            </w:r>
          </w:p>
          <w:p>
            <w:pPr>
              <w:spacing w:after="156" w:afterLines="50" w:line="280" w:lineRule="exact"/>
              <w:rPr>
                <w:rFonts w:ascii="宋体" w:hAnsi="宋体"/>
                <w:sz w:val="18"/>
                <w:szCs w:val="18"/>
              </w:rPr>
            </w:pPr>
            <w:r>
              <w:rPr>
                <w:rFonts w:hint="eastAsia" w:ascii="宋体" w:hAnsi="宋体"/>
                <w:sz w:val="18"/>
                <w:szCs w:val="18"/>
              </w:rPr>
              <w:t>全程连住三亚海韵度假酒店，沙滩漫步；</w:t>
            </w:r>
          </w:p>
          <w:p>
            <w:pPr>
              <w:spacing w:line="280" w:lineRule="exact"/>
              <w:rPr>
                <w:rFonts w:ascii="Arial" w:hAnsi="Arial" w:cs="Arial"/>
                <w:b/>
                <w:bCs/>
                <w:color w:val="E60044"/>
                <w:szCs w:val="21"/>
              </w:rPr>
            </w:pPr>
            <w:r>
              <w:rPr>
                <w:rFonts w:hint="eastAsia" w:ascii="Arial" w:hAnsi="Arial" w:cs="Arial"/>
                <w:b/>
                <w:bCs/>
                <w:color w:val="E60044"/>
                <w:szCs w:val="21"/>
              </w:rPr>
              <w:t>特色美食：</w:t>
            </w:r>
          </w:p>
          <w:p>
            <w:pPr>
              <w:spacing w:line="280" w:lineRule="exact"/>
              <w:rPr>
                <w:rFonts w:ascii="宋体" w:hAnsi="宋体"/>
                <w:sz w:val="18"/>
                <w:szCs w:val="18"/>
              </w:rPr>
            </w:pPr>
            <w:r>
              <w:rPr>
                <w:rFonts w:hint="eastAsia" w:ascii="宋体" w:hAnsi="宋体"/>
                <w:sz w:val="18"/>
                <w:szCs w:val="18"/>
              </w:rPr>
              <w:t>早餐酒店早餐，正餐餐标均价达30元/人/餐（自助或围桌），升级</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虾兵蟹将海鲜餐</w:t>
            </w:r>
            <w:r>
              <w:rPr>
                <w:rFonts w:hint="eastAsia" w:ascii="宋体" w:hAnsi="宋体"/>
                <w:sz w:val="18"/>
                <w:szCs w:val="18"/>
              </w:rPr>
              <w:t>、南山素斋自助餐各1次。</w:t>
            </w:r>
          </w:p>
          <w:p>
            <w:pPr>
              <w:spacing w:line="280" w:lineRule="exact"/>
              <w:rPr>
                <w:rFonts w:ascii="宋体" w:hAnsi="宋体"/>
                <w:sz w:val="20"/>
                <w:szCs w:val="20"/>
              </w:rPr>
            </w:pPr>
          </w:p>
          <w:p>
            <w:pPr>
              <w:spacing w:line="280" w:lineRule="exact"/>
              <w:rPr>
                <w:rFonts w:ascii="Arial" w:hAnsi="Arial" w:cs="Arial"/>
                <w:b/>
                <w:bCs/>
                <w:color w:val="E60044"/>
                <w:szCs w:val="21"/>
              </w:rPr>
            </w:pPr>
            <w:r>
              <w:rPr>
                <w:rFonts w:hint="eastAsia" w:ascii="Arial" w:hAnsi="Arial" w:cs="Arial"/>
                <w:b/>
                <w:bCs/>
                <w:color w:val="E60044"/>
                <w:szCs w:val="21"/>
              </w:rPr>
              <w:t>大牌景区：</w:t>
            </w:r>
          </w:p>
          <w:p>
            <w:pPr>
              <w:spacing w:line="280" w:lineRule="exact"/>
              <w:rPr>
                <w:rFonts w:asciiTheme="minorEastAsia" w:hAnsiTheme="minorEastAsia"/>
                <w:sz w:val="18"/>
                <w:szCs w:val="18"/>
              </w:rPr>
            </w:pPr>
            <w:r>
              <w:rPr>
                <w:rFonts w:hint="eastAsia" w:asciiTheme="minorEastAsia" w:hAnsiTheme="minorEastAsia"/>
                <w:sz w:val="18"/>
                <w:szCs w:val="18"/>
              </w:rPr>
              <w:t>5A海岛蜈支洲岛、5A南山文化苑、4A亚龙湾热带天堂、4A天涯海角等。</w:t>
            </w:r>
          </w:p>
          <w:p>
            <w:pPr>
              <w:spacing w:line="280" w:lineRule="exact"/>
              <w:rPr>
                <w:rFonts w:asciiTheme="minorEastAsia" w:hAnsiTheme="minorEastAsia"/>
                <w:sz w:val="18"/>
                <w:szCs w:val="18"/>
              </w:rPr>
            </w:pPr>
          </w:p>
          <w:p>
            <w:pPr>
              <w:spacing w:line="280" w:lineRule="exact"/>
              <w:rPr>
                <w:rFonts w:cs="Arial" w:asciiTheme="minorEastAsia" w:hAnsiTheme="minorEastAsia"/>
                <w:b/>
                <w:bCs/>
                <w:color w:val="E60044"/>
                <w:szCs w:val="21"/>
              </w:rPr>
            </w:pPr>
            <w:r>
              <w:rPr>
                <w:rFonts w:hint="eastAsia" w:cs="Arial" w:asciiTheme="minorEastAsia" w:hAnsiTheme="minorEastAsia"/>
                <w:b/>
                <w:bCs/>
                <w:color w:val="E60044"/>
                <w:szCs w:val="21"/>
              </w:rPr>
              <w:t>贴心服务：</w:t>
            </w:r>
          </w:p>
          <w:p>
            <w:pPr>
              <w:rPr>
                <w:rFonts w:asciiTheme="minorEastAsia" w:hAnsiTheme="minorEastAsia"/>
                <w:sz w:val="18"/>
                <w:szCs w:val="18"/>
              </w:rPr>
            </w:pPr>
            <w:r>
              <w:rPr>
                <w:rFonts w:hint="eastAsia" w:asciiTheme="minorEastAsia" w:hAnsiTheme="minorEastAsia"/>
                <w:sz w:val="18"/>
                <w:szCs w:val="18"/>
              </w:rPr>
              <w:t>全程品牌矿泉水1瓶/人/天，旅行社责任险；</w:t>
            </w:r>
          </w:p>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1039" w:hRule="atLeast"/>
          <w:jc w:val="center"/>
        </w:trPr>
        <w:tc>
          <w:tcPr>
            <w:tcW w:w="1863" w:type="dxa"/>
            <w:gridSpan w:val="2"/>
            <w:tcBorders>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D1</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出发地 &gt;&gt; 三亚</w:t>
            </w:r>
          </w:p>
        </w:tc>
        <w:tc>
          <w:tcPr>
            <w:tcW w:w="6478" w:type="dxa"/>
            <w:tcBorders>
              <w:bottom w:val="single" w:color="D0CECE" w:themeColor="background2" w:themeShade="E6" w:sz="4" w:space="0"/>
            </w:tcBorders>
            <w:shd w:val="clear" w:color="auto" w:fill="auto"/>
            <w:vAlign w:val="center"/>
          </w:tcPr>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乘机抵达美丽海南岛，沿途欣赏海岛美景，回酒店休息，期待明天的精彩旅程。</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住宿安排：</w:t>
            </w:r>
            <w:r>
              <w:rPr>
                <w:rFonts w:hint="eastAsia"/>
                <w:sz w:val="18"/>
                <w:szCs w:val="18"/>
              </w:rPr>
              <w:t>指定酒店</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C00000"/>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敬请自理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tcPr>
          <w:p>
            <w:pPr>
              <w:spacing w:after="156" w:afterLines="50" w:line="280" w:lineRule="exact"/>
              <w:rPr>
                <w:rFonts w:ascii="宋体" w:hAnsi="宋体"/>
                <w:color w:val="C00000"/>
                <w:sz w:val="18"/>
                <w:szCs w:val="18"/>
              </w:rPr>
            </w:pPr>
          </w:p>
        </w:tc>
      </w:tr>
      <w:tr>
        <w:tblPrEx>
          <w:tblLayout w:type="fixed"/>
          <w:tblCellMar>
            <w:top w:w="57" w:type="dxa"/>
            <w:left w:w="57" w:type="dxa"/>
            <w:bottom w:w="57" w:type="dxa"/>
            <w:right w:w="57" w:type="dxa"/>
          </w:tblCellMar>
        </w:tblPrEx>
        <w:trPr>
          <w:trHeight w:val="1526"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D2</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rPr>
              <w:t>蜈支洲岛</w:t>
            </w:r>
          </w:p>
          <w:p>
            <w:pPr>
              <w:pStyle w:val="5"/>
              <w:spacing w:before="0" w:beforeAutospacing="0" w:after="0" w:afterAutospacing="0"/>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【蜈支洲岛】：</w:t>
            </w:r>
            <w:r>
              <w:rPr>
                <w:rFonts w:hint="eastAsia"/>
                <w:color w:val="262626" w:themeColor="text1" w:themeTint="D9"/>
                <w:sz w:val="18"/>
                <w:szCs w:val="18"/>
                <w14:textFill>
                  <w14:solidFill>
                    <w14:schemeClr w14:val="tx1">
                      <w14:lumMod w14:val="85000"/>
                      <w14:lumOff w14:val="15000"/>
                    </w14:schemeClr>
                  </w14:solidFill>
                </w14:textFill>
              </w:rPr>
              <w:t>（游览时间不少于240分钟，含上下岛时间，海上项目自理）国家5A级海岛，集丰富性与独特性于一体。沙质洁白细腻、海域清澈透明，海水能见度6—27米。30余项海上和潜水娱乐项目（自费），给前来观光和度假的旅游者带来原始、静谧、浪漫和 动感时尚的休闲体验。</w:t>
            </w:r>
          </w:p>
          <w:p>
            <w:pPr>
              <w:rPr>
                <w:sz w:val="18"/>
                <w:szCs w:val="18"/>
              </w:rPr>
            </w:pPr>
            <w:r>
              <w:rPr>
                <w:rFonts w:hint="eastAsia" w:ascii="宋体" w:hAnsi="宋体"/>
                <w:color w:val="E60044"/>
                <w:sz w:val="18"/>
                <w:szCs w:val="18"/>
              </w:rPr>
              <w:t>住宿安排：</w:t>
            </w:r>
            <w:r>
              <w:rPr>
                <w:rFonts w:hint="eastAsia"/>
                <w:sz w:val="18"/>
                <w:szCs w:val="18"/>
              </w:rPr>
              <w:t>指定酒店</w:t>
            </w:r>
          </w:p>
          <w:p>
            <w:pPr>
              <w:rPr>
                <w:b/>
                <w:bCs/>
                <w:color w:val="262626" w:themeColor="text1" w:themeTint="D9"/>
                <w:szCs w:val="21"/>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中餐：自理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652"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D3</w:t>
            </w:r>
          </w:p>
          <w:p>
            <w:pPr>
              <w:spacing w:line="200" w:lineRule="exact"/>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lang w:val="zh-TW" w:eastAsia="zh-TW"/>
              </w:rPr>
              <w:t>天涯海角</w:t>
            </w:r>
            <w:r>
              <w:rPr>
                <w:rFonts w:hint="eastAsia"/>
                <w:b/>
                <w:bCs/>
                <w:color w:val="E60044"/>
                <w:sz w:val="18"/>
                <w:szCs w:val="18"/>
              </w:rPr>
              <w:t>—南山佛教文化苑—</w:t>
            </w:r>
            <w:r>
              <w:rPr>
                <w:rFonts w:hint="eastAsia"/>
                <w:b/>
                <w:bCs/>
                <w:color w:val="E60044"/>
                <w:sz w:val="18"/>
                <w:szCs w:val="18"/>
                <w:lang w:val="zh-TW"/>
              </w:rPr>
              <w:t>热带农业示范基地</w:t>
            </w:r>
          </w:p>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【天涯海角】：</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游览时间不少于120分钟）国家级风景名胜，海南标志性景区，景区依山傍海，碧海、青山、白沙、巨磊、礁盘，浑然一体，宛若七彩交融的丹青画屏；椰林、波涛、渔舟、鸥燕、云霞，辉映点衬，形成了南国独特的椰风海韵。</w:t>
            </w:r>
          </w:p>
          <w:p>
            <w:pPr>
              <w:pStyle w:val="5"/>
              <w:spacing w:before="0" w:beforeAutospacing="0" w:after="0" w:afterAutospacing="0"/>
              <w:jc w:val="both"/>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【南山佛教文化苑】：</w:t>
            </w:r>
            <w:r>
              <w:rPr>
                <w:rFonts w:hint="eastAsia"/>
                <w:color w:val="262626" w:themeColor="text1" w:themeTint="D9"/>
                <w:sz w:val="18"/>
                <w:szCs w:val="18"/>
                <w14:textFill>
                  <w14:solidFill>
                    <w14:schemeClr w14:val="tx1">
                      <w14:lumMod w14:val="85000"/>
                      <w14:lumOff w14:val="15000"/>
                    </w14:schemeClr>
                  </w14:solidFill>
                </w14:textFill>
              </w:rPr>
              <w:t>（游览时间不少于120分钟）国家5A级旅游景区，更有举世瞩目的108米“南山海上观音”，景区内风光秀丽，集佛教文化、福寿文化、生态文化、民俗风情、历史传说、园林建设为一体。在南山，既能领略热带滨海美景，同时还能获得佛教文化带来的心灵慰藉，体味回归自然、天人合一的乐趣。</w:t>
            </w:r>
          </w:p>
          <w:p>
            <w:pPr>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【热带农业示范基地】：</w:t>
            </w:r>
            <w:r>
              <w:rPr>
                <w:rFonts w:hint="eastAsia"/>
                <w:color w:val="262626" w:themeColor="text1" w:themeTint="D9"/>
                <w:sz w:val="18"/>
                <w:szCs w:val="18"/>
                <w14:textFill>
                  <w14:solidFill>
                    <w14:schemeClr w14:val="tx1">
                      <w14:lumMod w14:val="85000"/>
                      <w14:lumOff w14:val="15000"/>
                    </w14:schemeClr>
                  </w14:solidFill>
                </w14:textFill>
              </w:rPr>
              <w:t>（游览时间不少于90分钟），在这里了解海南独特的天然橡胶文化，秉承“科技、环保、健康、时尚”的理念，精湛制作各种工艺产品，打造轻松休闲的生活方式。</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中餐：南山素斋特色餐   晚餐：含</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434"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D4</w:t>
            </w:r>
          </w:p>
          <w:p>
            <w:pPr>
              <w:spacing w:line="200" w:lineRule="exact"/>
              <w:rPr>
                <w:rFonts w:hAnsi="宋体"/>
                <w:iCs/>
                <w:color w:val="262626" w:themeColor="text1" w:themeTint="D9"/>
                <w:sz w:val="18"/>
                <w:szCs w:val="18"/>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rPr>
                <w:b/>
                <w:bCs/>
                <w:color w:val="E60044"/>
                <w:sz w:val="18"/>
                <w:szCs w:val="18"/>
              </w:rPr>
            </w:pPr>
            <w:r>
              <w:rPr>
                <w:rFonts w:hint="eastAsia"/>
                <w:color w:val="E60044"/>
                <w:sz w:val="18"/>
                <w:szCs w:val="18"/>
              </w:rPr>
              <w:t>景点安排：</w:t>
            </w:r>
            <w:r>
              <w:rPr>
                <w:rFonts w:hint="eastAsia"/>
                <w:b/>
                <w:bCs/>
                <w:color w:val="E60044"/>
                <w:sz w:val="18"/>
                <w:szCs w:val="18"/>
              </w:rPr>
              <w:t>美丽商城—亚龙湾天堂森林公园—亚龙湾玫瑰谷</w:t>
            </w:r>
          </w:p>
          <w:p>
            <w:pPr>
              <w:spacing w:before="31" w:beforeLines="10" w:after="31" w:afterLines="10"/>
              <w:rPr>
                <w:color w:val="262626" w:themeColor="text1" w:themeTint="D9"/>
                <w:sz w:val="18"/>
                <w:szCs w:val="18"/>
                <w14:textFill>
                  <w14:solidFill>
                    <w14:schemeClr w14:val="tx1">
                      <w14:lumMod w14:val="85000"/>
                      <w14:lumOff w14:val="15000"/>
                    </w14:schemeClr>
                  </w14:solidFill>
                </w14:textFill>
              </w:rPr>
            </w:pPr>
            <w:r>
              <w:rPr>
                <w:rFonts w:hint="eastAsia"/>
                <w:b/>
                <w:bCs/>
                <w:color w:val="262626" w:themeColor="text1" w:themeTint="D9"/>
                <w:sz w:val="18"/>
                <w:szCs w:val="18"/>
                <w14:textFill>
                  <w14:solidFill>
                    <w14:schemeClr w14:val="tx1">
                      <w14:lumMod w14:val="85000"/>
                      <w14:lumOff w14:val="15000"/>
                    </w14:schemeClr>
                  </w14:solidFill>
                </w14:textFill>
              </w:rPr>
              <w:t>美丽商城：</w:t>
            </w:r>
            <w:r>
              <w:rPr>
                <w:rFonts w:hint="eastAsia"/>
                <w:color w:val="262626" w:themeColor="text1" w:themeTint="D9"/>
                <w:sz w:val="18"/>
                <w:szCs w:val="18"/>
                <w14:textFill>
                  <w14:solidFill>
                    <w14:schemeClr w14:val="tx1">
                      <w14:lumMod w14:val="85000"/>
                      <w14:lumOff w14:val="15000"/>
                    </w14:schemeClr>
                  </w14:solidFill>
                </w14:textFill>
              </w:rPr>
              <w:t>（游览时间不少于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分钟）展示珠宝玉石文化，领略“美丽三亚，浪漫天涯”的魅力元素。</w:t>
            </w:r>
          </w:p>
          <w:p>
            <w:pPr>
              <w:rPr>
                <w:rFonts w:asciiTheme="minorEastAsia" w:hAnsiTheme="minorEastAsia"/>
                <w:sz w:val="18"/>
                <w:szCs w:val="18"/>
              </w:rPr>
            </w:pPr>
            <w:r>
              <w:rPr>
                <w:rFonts w:hint="eastAsia" w:asciiTheme="minorEastAsia" w:hAnsiTheme="minorEastAsia"/>
                <w:b/>
                <w:bCs/>
                <w:sz w:val="18"/>
                <w:szCs w:val="18"/>
              </w:rPr>
              <w:t>亚龙湾热带天堂森林公园：</w:t>
            </w:r>
            <w:r>
              <w:rPr>
                <w:rFonts w:hint="eastAsia" w:asciiTheme="minorEastAsia" w:hAnsiTheme="minorEastAsia"/>
                <w:sz w:val="18"/>
                <w:szCs w:val="18"/>
              </w:rPr>
              <w:t>（游览不少于120分钟）“面朝大海，背靠青山，四季花开。” 三亚的天然大氧吧，拥有良好的热带雨林生态资源，景区内美丽的自然风光占据了冯小刚著名电影《非诚勿扰2》三分之二以上镜头，成为情侣们公认的爱情圣地，至今热度不减。</w:t>
            </w:r>
          </w:p>
          <w:p>
            <w:pPr>
              <w:rPr>
                <w:sz w:val="18"/>
                <w:szCs w:val="18"/>
              </w:rPr>
            </w:pPr>
            <w:r>
              <w:rPr>
                <w:rFonts w:hint="eastAsia"/>
                <w:b/>
                <w:bCs/>
                <w:color w:val="262626" w:themeColor="text1" w:themeTint="D9"/>
                <w:sz w:val="18"/>
                <w:szCs w:val="18"/>
                <w14:textFill>
                  <w14:solidFill>
                    <w14:schemeClr w14:val="tx1">
                      <w14:lumMod w14:val="85000"/>
                      <w14:lumOff w14:val="15000"/>
                    </w14:schemeClr>
                  </w14:solidFill>
                </w14:textFill>
              </w:rPr>
              <w:t>玫瑰谷：</w:t>
            </w:r>
            <w:r>
              <w:rPr>
                <w:rFonts w:hint="eastAsia"/>
                <w:color w:val="262626" w:themeColor="text1" w:themeTint="D9"/>
                <w:sz w:val="18"/>
                <w:szCs w:val="18"/>
                <w14:textFill>
                  <w14:solidFill>
                    <w14:schemeClr w14:val="tx1">
                      <w14:lumMod w14:val="85000"/>
                      <w14:lumOff w14:val="15000"/>
                    </w14:schemeClr>
                  </w14:solidFill>
                </w14:textFill>
              </w:rPr>
              <w:t>（不少于</w:t>
            </w:r>
            <w:r>
              <w:rPr>
                <w:color w:val="262626" w:themeColor="text1" w:themeTint="D9"/>
                <w:sz w:val="18"/>
                <w:szCs w:val="18"/>
                <w14:textFill>
                  <w14:solidFill>
                    <w14:schemeClr w14:val="tx1">
                      <w14:lumMod w14:val="85000"/>
                      <w14:lumOff w14:val="15000"/>
                    </w14:schemeClr>
                  </w14:solidFill>
                </w14:textFill>
              </w:rPr>
              <w:t>90</w:t>
            </w:r>
            <w:r>
              <w:rPr>
                <w:rFonts w:hint="eastAsia"/>
                <w:color w:val="262626" w:themeColor="text1" w:themeTint="D9"/>
                <w:sz w:val="18"/>
                <w:szCs w:val="18"/>
                <w14:textFill>
                  <w14:solidFill>
                    <w14:schemeClr w14:val="tx1">
                      <w14:lumMod w14:val="85000"/>
                      <w14:lumOff w14:val="15000"/>
                    </w14:schemeClr>
                  </w14:solidFill>
                </w14:textFill>
              </w:rPr>
              <w:t>分钟）以“美丽·浪漫·爱”为主题的亚洲规模最大的亚龙湾国际玫瑰谷，徜徉在玫瑰花海之中，奔赴一场极致浪漫的玫瑰之约。</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rPr>
                <w:color w:val="262626" w:themeColor="text1" w:themeTint="D9"/>
                <w:sz w:val="22"/>
                <w:szCs w:val="22"/>
                <w14:textFill>
                  <w14:solidFill>
                    <w14:schemeClr w14:val="tx1">
                      <w14:lumMod w14:val="85000"/>
                      <w14:lumOff w14:val="15000"/>
                    </w14:schemeClr>
                  </w14:solidFill>
                </w14:textFill>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c>
          <w:tcPr>
            <w:tcW w:w="2577" w:type="dxa"/>
            <w:vMerge w:val="continue"/>
            <w:tcBorders>
              <w:left w:val="single" w:color="FFFFFF" w:sz="4" w:space="0"/>
              <w:right w:val="single" w:color="FFFFFF" w:sz="4" w:space="0"/>
            </w:tcBorders>
            <w:shd w:val="clear" w:color="auto" w:fill="auto"/>
            <w:vAlign w:val="center"/>
          </w:tcPr>
          <w:p>
            <w:pPr>
              <w:spacing w:line="200" w:lineRule="atLeast"/>
              <w:rPr>
                <w:rFonts w:ascii="宋体" w:hAnsi="宋体"/>
                <w:color w:val="C00000"/>
                <w:sz w:val="18"/>
                <w:szCs w:val="18"/>
              </w:rPr>
            </w:pPr>
          </w:p>
        </w:tc>
      </w:tr>
      <w:tr>
        <w:tblPrEx>
          <w:tblLayout w:type="fixed"/>
          <w:tblCellMar>
            <w:top w:w="57" w:type="dxa"/>
            <w:left w:w="57" w:type="dxa"/>
            <w:bottom w:w="57" w:type="dxa"/>
            <w:right w:w="57" w:type="dxa"/>
          </w:tblCellMar>
        </w:tblPrEx>
        <w:trPr>
          <w:trHeight w:val="2262" w:hRule="atLeast"/>
          <w:jc w:val="center"/>
        </w:trPr>
        <w:tc>
          <w:tcPr>
            <w:tcW w:w="1863" w:type="dxa"/>
            <w:gridSpan w:val="2"/>
            <w:tcBorders>
              <w:top w:val="single" w:color="D0CECE" w:themeColor="background2" w:themeShade="E6" w:sz="4" w:space="0"/>
              <w:bottom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D5</w:t>
            </w:r>
          </w:p>
          <w:p>
            <w:pPr>
              <w:spacing w:line="200" w:lineRule="exact"/>
              <w:rPr>
                <w:rFonts w:hAnsi="宋体" w:eastAsia="宋体"/>
                <w:b/>
                <w:bCs/>
                <w:iCs/>
                <w:color w:val="262626" w:themeColor="text1" w:themeTint="D9"/>
                <w:sz w:val="22"/>
                <w:szCs w:val="22"/>
                <w14:textFill>
                  <w14:solidFill>
                    <w14:schemeClr w14:val="tx1">
                      <w14:lumMod w14:val="85000"/>
                      <w14:lumOff w14:val="15000"/>
                    </w14:schemeClr>
                  </w14:solidFill>
                </w14:textFill>
              </w:rPr>
            </w:pPr>
            <w:r>
              <w:rPr>
                <w:rFonts w:hint="eastAsia" w:hAnsi="宋体"/>
                <w:iCs/>
                <w:color w:val="262626" w:themeColor="text1" w:themeTint="D9"/>
                <w:sz w:val="18"/>
                <w:szCs w:val="18"/>
                <w14:textFill>
                  <w14:solidFill>
                    <w14:schemeClr w14:val="tx1">
                      <w14:lumMod w14:val="85000"/>
                      <w14:lumOff w14:val="15000"/>
                    </w14:schemeClr>
                  </w14:solidFill>
                </w14:textFill>
              </w:rPr>
              <w:t>三亚</w:t>
            </w:r>
            <w:r>
              <w:rPr>
                <w:rFonts w:hint="eastAsia" w:ascii="宋体" w:hAnsi="宋体"/>
                <w:color w:val="262626" w:themeColor="text1" w:themeTint="D9"/>
                <w:sz w:val="18"/>
                <w:szCs w:val="18"/>
                <w14:textFill>
                  <w14:solidFill>
                    <w14:schemeClr w14:val="tx1">
                      <w14:lumMod w14:val="85000"/>
                      <w14:lumOff w14:val="15000"/>
                    </w14:schemeClr>
                  </w14:solidFill>
                </w14:textFill>
              </w:rPr>
              <w:t>一地</w:t>
            </w:r>
          </w:p>
        </w:tc>
        <w:tc>
          <w:tcPr>
            <w:tcW w:w="6478" w:type="dxa"/>
            <w:tcBorders>
              <w:top w:val="single" w:color="D0CECE" w:themeColor="background2" w:themeShade="E6" w:sz="4" w:space="0"/>
              <w:bottom w:val="single" w:color="D0CECE" w:themeColor="background2" w:themeShade="E6" w:sz="4" w:space="0"/>
            </w:tcBorders>
            <w:shd w:val="clear" w:color="auto" w:fill="auto"/>
            <w:vAlign w:val="center"/>
          </w:tcPr>
          <w:p>
            <w:pPr>
              <w:spacing w:after="62" w:afterLines="20" w:line="240" w:lineRule="exact"/>
              <w:rPr>
                <w:rFonts w:hint="eastAsia"/>
                <w:color w:val="E60044"/>
                <w:sz w:val="18"/>
                <w:szCs w:val="18"/>
                <w:lang w:eastAsia="zh-CN"/>
              </w:rPr>
            </w:pPr>
            <w:r>
              <w:rPr>
                <w:rFonts w:hint="eastAsia"/>
                <w:color w:val="E60044"/>
                <w:sz w:val="18"/>
                <w:szCs w:val="18"/>
              </w:rPr>
              <w:t>景点安排：</w:t>
            </w:r>
            <w:r>
              <w:rPr>
                <w:rFonts w:hint="eastAsia"/>
                <w:b/>
                <w:bCs/>
                <w:color w:val="E60044"/>
                <w:sz w:val="18"/>
                <w:szCs w:val="18"/>
                <w:lang w:eastAsia="zh-CN"/>
              </w:rPr>
              <w:t>赠送</w:t>
            </w:r>
            <w:r>
              <w:rPr>
                <w:rFonts w:hint="eastAsia"/>
                <w:b/>
                <w:bCs/>
                <w:color w:val="E60044"/>
                <w:sz w:val="18"/>
                <w:szCs w:val="18"/>
                <w:lang w:val="zh-TW"/>
              </w:rPr>
              <w:t>跨境商品免税商城</w:t>
            </w:r>
            <w:r>
              <w:rPr>
                <w:rFonts w:hint="eastAsia"/>
                <w:b/>
                <w:bCs/>
                <w:color w:val="E60044"/>
                <w:sz w:val="18"/>
                <w:szCs w:val="18"/>
                <w:lang w:eastAsia="zh-CN"/>
              </w:rPr>
              <w:t>—槟榔谷</w:t>
            </w:r>
          </w:p>
          <w:p>
            <w:pPr>
              <w:spacing w:after="62" w:afterLines="20" w:line="240" w:lineRule="exact"/>
              <w:rPr>
                <w:rFonts w:hint="eastAsia"/>
                <w:b w:val="0"/>
                <w:bCs w:val="0"/>
                <w:color w:val="auto"/>
                <w:sz w:val="18"/>
                <w:szCs w:val="18"/>
              </w:rPr>
            </w:pPr>
            <w:r>
              <w:rPr>
                <w:rFonts w:hint="eastAsia"/>
                <w:b/>
                <w:bCs/>
                <w:color w:val="auto"/>
                <w:sz w:val="18"/>
                <w:szCs w:val="18"/>
                <w:lang w:val="zh-TW" w:eastAsia="zh-CN"/>
              </w:rPr>
              <w:t>赠送跨境商品【免税商城】：</w:t>
            </w:r>
            <w:r>
              <w:rPr>
                <w:rFonts w:hint="eastAsia"/>
                <w:b w:val="0"/>
                <w:bCs w:val="0"/>
                <w:color w:val="auto"/>
                <w:sz w:val="18"/>
                <w:szCs w:val="18"/>
                <w:lang w:val="zh-TW" w:eastAsia="zh-CN"/>
              </w:rPr>
              <w:t>（</w:t>
            </w:r>
            <w:r>
              <w:rPr>
                <w:rFonts w:hint="eastAsia"/>
                <w:b w:val="0"/>
                <w:bCs w:val="0"/>
                <w:color w:val="auto"/>
                <w:sz w:val="18"/>
                <w:szCs w:val="18"/>
              </w:rPr>
              <w:t>游览时间不少于120分钟</w:t>
            </w:r>
            <w:r>
              <w:rPr>
                <w:rFonts w:hint="eastAsia"/>
                <w:b w:val="0"/>
                <w:bCs w:val="0"/>
                <w:color w:val="auto"/>
                <w:sz w:val="18"/>
                <w:szCs w:val="18"/>
                <w:lang w:val="zh-TW" w:eastAsia="zh-CN"/>
              </w:rPr>
              <w:t>）</w:t>
            </w:r>
            <w:r>
              <w:rPr>
                <w:rFonts w:hint="eastAsia"/>
                <w:b w:val="0"/>
                <w:bCs w:val="0"/>
                <w:color w:val="auto"/>
                <w:sz w:val="18"/>
                <w:szCs w:val="18"/>
              </w:rPr>
              <w:t>，集餐饮、香化、箱包、娱乐、休闲、珠宝于一体的商业综合体；</w:t>
            </w:r>
          </w:p>
          <w:p>
            <w:pPr>
              <w:spacing w:after="62" w:afterLines="20" w:line="240" w:lineRule="exact"/>
              <w:rPr>
                <w:rFonts w:asciiTheme="minorEastAsia" w:hAnsiTheme="minorEastAsia"/>
                <w:bCs/>
                <w:sz w:val="18"/>
                <w:szCs w:val="18"/>
              </w:rPr>
            </w:pPr>
            <w:r>
              <w:rPr>
                <w:rFonts w:hint="eastAsia"/>
                <w:b/>
                <w:bCs/>
                <w:color w:val="auto"/>
                <w:sz w:val="18"/>
                <w:szCs w:val="18"/>
                <w:lang w:val="en-US" w:eastAsia="zh-CN"/>
              </w:rPr>
              <w:t>【槟榔谷】：</w:t>
            </w:r>
            <w:r>
              <w:rPr>
                <w:rFonts w:hint="eastAsia" w:asciiTheme="minorEastAsia" w:hAnsiTheme="minorEastAsia"/>
                <w:bCs/>
                <w:sz w:val="18"/>
                <w:szCs w:val="18"/>
              </w:rPr>
              <w:t>（游览时间不少于120分钟，不含景区内表演）</w:t>
            </w:r>
            <w:r>
              <w:rPr>
                <w:rFonts w:hint="eastAsia" w:asciiTheme="minorEastAsia" w:hAnsiTheme="minorEastAsia"/>
                <w:bCs/>
                <w:sz w:val="18"/>
                <w:szCs w:val="18"/>
                <w:lang w:eastAsia="zh-CN"/>
              </w:rPr>
              <w:t>，</w:t>
            </w:r>
            <w:r>
              <w:rPr>
                <w:rFonts w:hint="eastAsia" w:asciiTheme="minorEastAsia" w:hAnsiTheme="minorEastAsia"/>
                <w:bCs/>
                <w:sz w:val="18"/>
                <w:szCs w:val="18"/>
              </w:rPr>
              <w:t>中国首家民族文化型5A级景区，海南民族文化的“活化石”，婀娜多姿的槟榔林海，置身于古木参天、藤蔓交织的热带雨林中。</w:t>
            </w:r>
          </w:p>
          <w:p>
            <w:pP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E60044"/>
                <w:sz w:val="18"/>
                <w:szCs w:val="18"/>
              </w:rPr>
              <w:t>住宿安排：</w:t>
            </w:r>
            <w:r>
              <w:rPr>
                <w:rFonts w:hint="eastAsia"/>
                <w:sz w:val="18"/>
                <w:szCs w:val="18"/>
              </w:rPr>
              <w:t>指定酒店</w:t>
            </w:r>
          </w:p>
          <w:p>
            <w:pPr>
              <w:spacing w:line="250" w:lineRule="exact"/>
              <w:rPr>
                <w:sz w:val="18"/>
                <w:szCs w:val="18"/>
                <w:lang w:val="zh-TW"/>
              </w:rPr>
            </w:pPr>
            <w:r>
              <w:rPr>
                <w:rFonts w:hint="eastAsia" w:ascii="宋体" w:hAnsi="宋体"/>
                <w:color w:val="E60044"/>
                <w:sz w:val="18"/>
                <w:szCs w:val="18"/>
              </w:rPr>
              <w:t>餐饮安排：</w:t>
            </w:r>
            <w:r>
              <w:rPr>
                <w:rFonts w:hint="eastAsia" w:ascii="宋体" w:hAnsi="宋体"/>
                <w:color w:val="262626" w:themeColor="text1" w:themeTint="D9"/>
                <w:sz w:val="18"/>
                <w:szCs w:val="18"/>
                <w14:textFill>
                  <w14:solidFill>
                    <w14:schemeClr w14:val="tx1">
                      <w14:lumMod w14:val="85000"/>
                      <w14:lumOff w14:val="15000"/>
                    </w14:schemeClr>
                  </w14:solidFill>
                </w14:textFill>
              </w:rPr>
              <w:t>早餐：酒店用餐   中餐：含   晚餐：自理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Layout w:type="fixed"/>
          <w:tblCellMar>
            <w:top w:w="57" w:type="dxa"/>
            <w:left w:w="57" w:type="dxa"/>
            <w:bottom w:w="57" w:type="dxa"/>
            <w:right w:w="57" w:type="dxa"/>
          </w:tblCellMar>
        </w:tblPrEx>
        <w:trPr>
          <w:trHeight w:val="589" w:hRule="atLeast"/>
          <w:jc w:val="center"/>
        </w:trPr>
        <w:tc>
          <w:tcPr>
            <w:tcW w:w="1863" w:type="dxa"/>
            <w:gridSpan w:val="2"/>
            <w:tcBorders>
              <w:top w:val="single" w:color="D0CECE" w:themeColor="background2" w:themeShade="E6" w:sz="4" w:space="0"/>
            </w:tcBorders>
            <w:shd w:val="clear" w:color="auto" w:fill="auto"/>
          </w:tcPr>
          <w:p>
            <w:pPr>
              <w:spacing w:line="640" w:lineRule="exact"/>
              <w:rPr>
                <w:rFonts w:hAnsi="宋体"/>
                <w:b/>
                <w:bCs/>
                <w:iCs/>
                <w:color w:val="262626" w:themeColor="text1" w:themeTint="D9"/>
                <w:sz w:val="64"/>
                <w:szCs w:val="64"/>
                <w14:textFill>
                  <w14:solidFill>
                    <w14:schemeClr w14:val="tx1">
                      <w14:lumMod w14:val="85000"/>
                      <w14:lumOff w14:val="15000"/>
                    </w14:schemeClr>
                  </w14:solidFill>
                </w14:textFill>
              </w:rPr>
            </w:pPr>
            <w:r>
              <w:rPr>
                <w:rFonts w:hint="eastAsia" w:hAnsi="宋体"/>
                <w:b/>
                <w:bCs/>
                <w:iCs/>
                <w:color w:val="262626" w:themeColor="text1" w:themeTint="D9"/>
                <w:sz w:val="64"/>
                <w:szCs w:val="64"/>
                <w14:textFill>
                  <w14:solidFill>
                    <w14:schemeClr w14:val="tx1">
                      <w14:lumMod w14:val="85000"/>
                      <w14:lumOff w14:val="15000"/>
                    </w14:schemeClr>
                  </w14:solidFill>
                </w14:textFill>
              </w:rPr>
              <w:t>D6</w:t>
            </w:r>
          </w:p>
          <w:p>
            <w:pPr>
              <w:spacing w:line="200" w:lineRule="exact"/>
              <w:rPr>
                <w:rFonts w:asciiTheme="minorEastAsia" w:hAnsiTheme="minorEastAsia"/>
                <w:bCs/>
                <w:iCs/>
                <w:color w:val="262626" w:themeColor="text1" w:themeTint="D9"/>
                <w:sz w:val="18"/>
                <w:szCs w:val="18"/>
                <w14:textFill>
                  <w14:solidFill>
                    <w14:schemeClr w14:val="tx1">
                      <w14:lumMod w14:val="85000"/>
                      <w14:lumOff w14:val="15000"/>
                    </w14:schemeClr>
                  </w14:solidFill>
                </w14:textFill>
              </w:rPr>
            </w:pPr>
            <w:r>
              <w:rPr>
                <w:rFonts w:hint="eastAsia" w:asciiTheme="minorEastAsia" w:hAnsiTheme="minorEastAsia"/>
                <w:bCs/>
                <w:iCs/>
                <w:color w:val="262626" w:themeColor="text1" w:themeTint="D9"/>
                <w:sz w:val="18"/>
                <w:szCs w:val="18"/>
                <w14:textFill>
                  <w14:solidFill>
                    <w14:schemeClr w14:val="tx1">
                      <w14:lumMod w14:val="85000"/>
                      <w14:lumOff w14:val="15000"/>
                    </w14:schemeClr>
                  </w14:solidFill>
                </w14:textFill>
              </w:rPr>
              <w:t>三亚 &gt;&gt; 温馨的家</w:t>
            </w:r>
          </w:p>
        </w:tc>
        <w:tc>
          <w:tcPr>
            <w:tcW w:w="6478" w:type="dxa"/>
            <w:tcBorders>
              <w:top w:val="single" w:color="D0CECE" w:themeColor="background2" w:themeShade="E6" w:sz="4" w:space="0"/>
            </w:tcBorders>
            <w:shd w:val="clear" w:color="auto" w:fill="auto"/>
            <w:vAlign w:val="center"/>
          </w:tcPr>
          <w:p>
            <w:pPr>
              <w:rPr>
                <w:sz w:val="18"/>
                <w:szCs w:val="18"/>
                <w:lang w:val="zh-TW"/>
              </w:rPr>
            </w:pPr>
            <w:bookmarkStart w:id="0" w:name="_GoBack"/>
            <w:bookmarkEnd w:id="0"/>
            <w:r>
              <w:rPr>
                <w:rFonts w:hint="eastAsia"/>
                <w:sz w:val="18"/>
                <w:szCs w:val="18"/>
                <w:lang w:val="zh-TW"/>
              </w:rPr>
              <w:t>乘机返回温馨家园（酒店退房时间为中午12点前）。</w:t>
            </w:r>
          </w:p>
          <w:p>
            <w:pPr>
              <w:rPr>
                <w:sz w:val="18"/>
                <w:szCs w:val="18"/>
                <w:lang w:val="zh-TW"/>
              </w:rPr>
            </w:pPr>
            <w:r>
              <w:rPr>
                <w:rFonts w:hint="eastAsia"/>
                <w:color w:val="C00000"/>
                <w:sz w:val="18"/>
                <w:szCs w:val="18"/>
                <w:lang w:val="zh-TW"/>
              </w:rPr>
              <w:t>餐饮安排：</w:t>
            </w:r>
            <w:r>
              <w:rPr>
                <w:rFonts w:hint="eastAsia"/>
                <w:sz w:val="18"/>
                <w:szCs w:val="18"/>
                <w:lang w:val="zh-TW"/>
              </w:rPr>
              <w:t>早餐：酒店用餐   中餐：自理   晚餐：自理</w:t>
            </w:r>
          </w:p>
          <w:p>
            <w:pPr>
              <w:rPr>
                <w:sz w:val="18"/>
                <w:szCs w:val="18"/>
                <w:lang w:val="zh-TW"/>
              </w:rPr>
            </w:pPr>
            <w:r>
              <w:rPr>
                <w:rFonts w:hint="eastAsia"/>
                <w:color w:val="808080" w:themeColor="text1" w:themeTint="80"/>
                <w:sz w:val="18"/>
                <w:szCs w:val="18"/>
                <w:u w:val="single"/>
                <w:lang w:val="zh-TW"/>
                <w14:textFill>
                  <w14:solidFill>
                    <w14:schemeClr w14:val="tx1">
                      <w14:lumMod w14:val="50000"/>
                      <w14:lumOff w14:val="50000"/>
                    </w14:schemeClr>
                  </w14:solidFill>
                </w14:textFill>
              </w:rPr>
              <w:t>注明：以上行程景点浏览仅供参考，在不减少景点情况下将对行程游览顺序进行调整，具体游览顺序请以实际出游为准。</w:t>
            </w:r>
          </w:p>
        </w:tc>
        <w:tc>
          <w:tcPr>
            <w:tcW w:w="307" w:type="dxa"/>
            <w:gridSpan w:val="2"/>
            <w:vMerge w:val="continue"/>
            <w:tcBorders>
              <w:top w:val="single" w:color="FFFFFF" w:sz="4" w:space="0"/>
              <w:left w:val="nil"/>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c>
          <w:tcPr>
            <w:tcW w:w="2577" w:type="dxa"/>
            <w:vMerge w:val="continue"/>
            <w:tcBorders>
              <w:left w:val="single" w:color="FFFFFF" w:sz="4" w:space="0"/>
              <w:bottom w:val="single" w:color="FFFFFF" w:sz="4" w:space="0"/>
              <w:right w:val="single" w:color="FFFFFF" w:sz="4" w:space="0"/>
            </w:tcBorders>
            <w:shd w:val="clear" w:color="auto" w:fill="auto"/>
            <w:vAlign w:val="center"/>
          </w:tcPr>
          <w:p>
            <w:pPr>
              <w:spacing w:line="200" w:lineRule="atLeast"/>
              <w:rPr>
                <w:color w:val="C00000"/>
                <w:sz w:val="18"/>
                <w:szCs w:val="18"/>
                <w:lang w:val="zh-TW"/>
              </w:rPr>
            </w:pPr>
          </w:p>
        </w:tc>
      </w:tr>
      <w:tr>
        <w:tblPrEx>
          <w:tblLayout w:type="fixed"/>
          <w:tblCellMar>
            <w:top w:w="113" w:type="dxa"/>
            <w:left w:w="57" w:type="dxa"/>
            <w:bottom w:w="113" w:type="dxa"/>
            <w:right w:w="57" w:type="dxa"/>
          </w:tblCellMar>
        </w:tblPrEx>
        <w:trPr>
          <w:trHeight w:val="728"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br w:type="page"/>
            </w:r>
            <w:r>
              <w:rPr>
                <w:color w:val="E60044"/>
              </w:rPr>
              <w:br w:type="page"/>
            </w:r>
            <w:r>
              <w:rPr>
                <w:rFonts w:hint="eastAsia" w:ascii="宋体" w:hAnsi="宋体"/>
                <w:b/>
                <w:color w:val="E60044"/>
                <w:sz w:val="28"/>
                <w:szCs w:val="28"/>
              </w:rPr>
              <w:t xml:space="preserve">费用包含 </w:t>
            </w:r>
          </w:p>
        </w:tc>
      </w:tr>
      <w:tr>
        <w:tblPrEx>
          <w:tblLayout w:type="fixed"/>
          <w:tblCellMar>
            <w:top w:w="113" w:type="dxa"/>
            <w:left w:w="57" w:type="dxa"/>
            <w:bottom w:w="113" w:type="dxa"/>
            <w:right w:w="57" w:type="dxa"/>
          </w:tblCellMar>
        </w:tblPrEx>
        <w:trPr>
          <w:trHeight w:val="2412" w:hRule="atLeast"/>
          <w:jc w:val="center"/>
        </w:trPr>
        <w:tc>
          <w:tcPr>
            <w:tcW w:w="11225" w:type="dxa"/>
            <w:gridSpan w:val="6"/>
            <w:tcBorders>
              <w:top w:val="single" w:color="E60044" w:sz="4" w:space="0"/>
              <w:left w:val="single" w:color="FFFFFF" w:sz="4" w:space="0"/>
              <w:right w:val="single" w:color="FFFFFF" w:sz="4" w:space="0"/>
              <w:tl2br w:val="nil"/>
              <w:tr2bl w:val="nil"/>
            </w:tcBorders>
            <w:shd w:val="clear" w:color="auto" w:fill="auto"/>
          </w:tcPr>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旅游交通：</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往返机票、机建燃油、海南当地</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VIP</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空调旅游车，</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1</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正座（</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26</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座以下无行李箱）；</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住宿标准：</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三亚一地，全程连住三亚海韵度假酒店；</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景点门票：</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报价包含景点首道门票（不含景区内设自费项目，另有约定除外）；</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用餐标准：</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全程</w:t>
            </w:r>
            <w:r>
              <w:rPr>
                <w:rFonts w:hint="eastAsia" w:ascii="宋体" w:hAnsi="宋体" w:eastAsia="宋体" w:cs="宋体"/>
                <w:color w:val="262626" w:themeColor="text1" w:themeTint="D9"/>
                <w:sz w:val="18"/>
                <w:szCs w:val="18"/>
                <w:lang w:val="en-US" w:eastAsia="zh-CN"/>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正</w:t>
            </w:r>
            <w:r>
              <w:rPr>
                <w:rFonts w:hint="eastAsia" w:ascii="宋体" w:hAnsi="宋体" w:eastAsia="宋体" w:cs="宋体"/>
                <w:color w:val="262626" w:themeColor="text1" w:themeTint="D9"/>
                <w:sz w:val="18"/>
                <w:szCs w:val="18"/>
                <w:lang w:val="zh-TW"/>
                <w14:textFill>
                  <w14:solidFill>
                    <w14:schemeClr w14:val="tx1">
                      <w14:lumMod w14:val="85000"/>
                      <w14:lumOff w14:val="15000"/>
                    </w14:schemeClr>
                  </w14:solidFill>
                </w14:textFill>
              </w:rPr>
              <w:t>5</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早，正餐标30元/人/餐；升级</w:t>
            </w:r>
            <w:r>
              <w:rPr>
                <w:rFonts w:hint="eastAsia" w:ascii="宋体" w:hAnsi="宋体" w:cs="Times New Roman"/>
                <w:color w:val="262626" w:themeColor="text1" w:themeTint="D9"/>
                <w:kern w:val="0"/>
                <w:sz w:val="18"/>
                <w:szCs w:val="18"/>
                <w14:textFill>
                  <w14:solidFill>
                    <w14:schemeClr w14:val="tx1">
                      <w14:lumMod w14:val="85000"/>
                      <w14:lumOff w14:val="15000"/>
                    </w14:schemeClr>
                  </w14:solidFill>
                </w14:textFill>
              </w:rPr>
              <w:t>虾兵蟹将海鲜餐</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、南山素斋自助餐各1次；</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保险服务：</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最高保额</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30</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万元</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人海南旅行社责任险；</w:t>
            </w:r>
          </w:p>
          <w:p>
            <w:pPr>
              <w:spacing w:before="93" w:beforeLines="30" w:after="93" w:afterLines="30" w:line="240" w:lineRule="exact"/>
              <w:jc w:val="left"/>
              <w:rPr>
                <w:rFonts w:ascii="宋体" w:hAnsi="宋体" w:eastAsia="宋体" w:cs="宋体"/>
                <w:color w:val="262626" w:themeColor="text1" w:themeTint="D9"/>
                <w:sz w:val="18"/>
                <w:szCs w:val="18"/>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导游服务：</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持证专业导游，幽默风趣耐心解说、贴心细致管家式服务；</w:t>
            </w:r>
          </w:p>
          <w:p>
            <w:pPr>
              <w:spacing w:before="93" w:beforeLines="30" w:after="93" w:afterLines="30" w:line="240" w:lineRule="exact"/>
              <w:jc w:val="left"/>
              <w:rPr>
                <w:rFonts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儿童费用：</w:t>
            </w:r>
            <w:r>
              <w:rPr>
                <w:rFonts w:hint="eastAsia" w:ascii="宋体" w:hAnsi="宋体" w:eastAsia="宋体" w:cs="宋体"/>
                <w:color w:val="262626" w:themeColor="text1" w:themeTint="D9"/>
                <w:sz w:val="18"/>
                <w:szCs w:val="18"/>
                <w:lang w:val="zh-TW" w:eastAsia="zh-TW"/>
                <w14:textFill>
                  <w14:solidFill>
                    <w14:schemeClr w14:val="tx1">
                      <w14:lumMod w14:val="85000"/>
                      <w14:lumOff w14:val="15000"/>
                    </w14:schemeClr>
                  </w14:solidFill>
                </w14:textFill>
              </w:rPr>
              <w:t>2岁以上1.2米以下儿童只含半价正餐+车位，不含早餐。</w:t>
            </w:r>
          </w:p>
          <w:p>
            <w:pPr>
              <w:spacing w:before="93" w:beforeLines="30" w:after="93" w:afterLines="30" w:line="240" w:lineRule="exact"/>
              <w:jc w:val="left"/>
              <w:rPr>
                <w:color w:val="262626" w:themeColor="text1" w:themeTint="D9"/>
                <w14:textFill>
                  <w14:solidFill>
                    <w14:schemeClr w14:val="tx1">
                      <w14:lumMod w14:val="85000"/>
                      <w14:lumOff w14:val="15000"/>
                    </w14:schemeClr>
                  </w14:solidFill>
                </w14:textFill>
              </w:rPr>
            </w:pPr>
            <w:r>
              <w:rPr>
                <w:rFonts w:hint="eastAsia" w:ascii="宋体" w:hAnsi="宋体" w:eastAsia="宋体" w:cs="宋体"/>
                <w:b/>
                <w:bCs/>
                <w:color w:val="262626" w:themeColor="text1" w:themeTint="D9"/>
                <w:sz w:val="18"/>
                <w:szCs w:val="18"/>
                <w14:textFill>
                  <w14:solidFill>
                    <w14:schemeClr w14:val="tx1">
                      <w14:lumMod w14:val="85000"/>
                      <w14:lumOff w14:val="15000"/>
                    </w14:schemeClr>
                  </w14:solidFill>
                </w14:textFill>
              </w:rPr>
              <w:t>特别说明：</w:t>
            </w:r>
            <w:r>
              <w:rPr>
                <w:rFonts w:hint="eastAsia" w:ascii="宋体" w:hAnsi="宋体" w:eastAsia="宋体" w:cs="宋体"/>
                <w:color w:val="262626" w:themeColor="text1" w:themeTint="D9"/>
                <w:sz w:val="18"/>
                <w:szCs w:val="18"/>
                <w14:textFill>
                  <w14:solidFill>
                    <w14:schemeClr w14:val="tx1">
                      <w14:lumMod w14:val="85000"/>
                      <w14:lumOff w14:val="15000"/>
                    </w14:schemeClr>
                  </w14:solidFill>
                </w14:textFill>
              </w:rPr>
              <w:t>“费用包含说明”内容以外的所有费用不包含。</w:t>
            </w:r>
          </w:p>
        </w:tc>
      </w:tr>
      <w:tr>
        <w:tblPrEx>
          <w:tblLayout w:type="fixed"/>
          <w:tblCellMar>
            <w:top w:w="113" w:type="dxa"/>
            <w:left w:w="57" w:type="dxa"/>
            <w:bottom w:w="113" w:type="dxa"/>
            <w:right w:w="57" w:type="dxa"/>
          </w:tblCellMar>
        </w:tblPrEx>
        <w:trPr>
          <w:trHeight w:val="452" w:hRule="atLeast"/>
          <w:jc w:val="center"/>
        </w:trPr>
        <w:tc>
          <w:tcPr>
            <w:tcW w:w="11225" w:type="dxa"/>
            <w:gridSpan w:val="6"/>
            <w:tcBorders>
              <w:bottom w:val="single" w:color="E60044" w:sz="4" w:space="0"/>
              <w:tl2br w:val="nil"/>
              <w:tr2bl w:val="nil"/>
            </w:tcBorders>
            <w:shd w:val="clear" w:color="auto" w:fill="auto"/>
            <w:vAlign w:val="center"/>
          </w:tcPr>
          <w:p>
            <w:pPr>
              <w:jc w:val="center"/>
              <w:rPr>
                <w:color w:val="E60044"/>
              </w:rPr>
            </w:pPr>
            <w:r>
              <w:rPr>
                <w:rFonts w:hint="eastAsia" w:ascii="宋体" w:hAnsi="宋体"/>
                <w:b/>
                <w:color w:val="E60044"/>
                <w:sz w:val="28"/>
                <w:szCs w:val="28"/>
              </w:rPr>
              <w:t xml:space="preserve">酒店说明 </w:t>
            </w:r>
          </w:p>
        </w:tc>
      </w:tr>
      <w:tr>
        <w:tblPrEx>
          <w:tblLayout w:type="fixed"/>
          <w:tblCellMar>
            <w:top w:w="113" w:type="dxa"/>
            <w:left w:w="57" w:type="dxa"/>
            <w:bottom w:w="113" w:type="dxa"/>
            <w:right w:w="57" w:type="dxa"/>
          </w:tblCellMar>
        </w:tblPrEx>
        <w:trPr>
          <w:trHeight w:val="161" w:hRule="atLeast"/>
          <w:jc w:val="center"/>
        </w:trPr>
        <w:tc>
          <w:tcPr>
            <w:tcW w:w="1689" w:type="dxa"/>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地区/标准</w:t>
            </w:r>
          </w:p>
        </w:tc>
        <w:tc>
          <w:tcPr>
            <w:tcW w:w="9536" w:type="dxa"/>
            <w:gridSpan w:val="5"/>
            <w:tcBorders>
              <w:top w:val="single" w:color="E60044" w:sz="4" w:space="0"/>
              <w:left w:val="single" w:color="FFFFFF" w:sz="4" w:space="0"/>
              <w:bottom w:val="single" w:color="FFFFFF" w:sz="4" w:space="0"/>
              <w:right w:val="single" w:color="FFFFFF" w:sz="4" w:space="0"/>
            </w:tcBorders>
            <w:shd w:val="clear" w:color="auto" w:fill="D0CECE" w:themeFill="background2" w:themeFillShade="E6"/>
            <w:vAlign w:val="center"/>
          </w:tcPr>
          <w:p>
            <w:pPr>
              <w:jc w:val="center"/>
              <w:rPr>
                <w:rFonts w:ascii="宋体" w:hAnsi="宋体"/>
                <w:b/>
                <w:bCs/>
                <w:color w:val="262626" w:themeColor="text1" w:themeTint="D9"/>
                <w:szCs w:val="21"/>
                <w14:textFill>
                  <w14:solidFill>
                    <w14:schemeClr w14:val="tx1">
                      <w14:lumMod w14:val="85000"/>
                      <w14:lumOff w14:val="15000"/>
                    </w14:schemeClr>
                  </w14:solidFill>
                </w14:textFill>
              </w:rPr>
            </w:pPr>
            <w:r>
              <w:rPr>
                <w:rFonts w:hint="eastAsia" w:ascii="宋体" w:hAnsi="宋体"/>
                <w:b/>
                <w:bCs/>
                <w:iCs/>
                <w:color w:val="262626" w:themeColor="text1" w:themeTint="D9"/>
                <w:szCs w:val="21"/>
                <w14:textFill>
                  <w14:solidFill>
                    <w14:schemeClr w14:val="tx1">
                      <w14:lumMod w14:val="85000"/>
                      <w14:lumOff w14:val="15000"/>
                    </w14:schemeClr>
                  </w14:solidFill>
                </w14:textFill>
              </w:rPr>
              <w:t>指定酒店</w:t>
            </w:r>
          </w:p>
        </w:tc>
      </w:tr>
      <w:tr>
        <w:tblPrEx>
          <w:tblLayout w:type="fixed"/>
          <w:tblCellMar>
            <w:top w:w="113" w:type="dxa"/>
            <w:left w:w="57" w:type="dxa"/>
            <w:bottom w:w="113" w:type="dxa"/>
            <w:right w:w="57" w:type="dxa"/>
          </w:tblCellMar>
        </w:tblPrEx>
        <w:trPr>
          <w:trHeight w:val="388" w:hRule="atLeast"/>
          <w:jc w:val="center"/>
        </w:trPr>
        <w:tc>
          <w:tcPr>
            <w:tcW w:w="1689" w:type="dxa"/>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三亚·指定酒店</w:t>
            </w:r>
          </w:p>
        </w:tc>
        <w:tc>
          <w:tcPr>
            <w:tcW w:w="9536" w:type="dxa"/>
            <w:gridSpan w:val="5"/>
            <w:tcBorders>
              <w:top w:val="single" w:color="FFFFFF" w:sz="4" w:space="0"/>
              <w:left w:val="single" w:color="FFFFFF" w:sz="4" w:space="0"/>
              <w:bottom w:val="single" w:color="FFFFFF" w:sz="4" w:space="0"/>
              <w:right w:val="single" w:color="FFFFFF" w:sz="4" w:space="0"/>
            </w:tcBorders>
            <w:shd w:val="clear" w:color="auto" w:fill="E7E6E6" w:themeFill="background2"/>
            <w:vAlign w:val="center"/>
          </w:tcPr>
          <w:p>
            <w:pPr>
              <w:jc w:val="center"/>
              <w:rPr>
                <w:rFonts w:ascii="宋体" w:hAnsi="宋体"/>
                <w:color w:val="262626" w:themeColor="text1" w:themeTint="D9"/>
                <w:sz w:val="18"/>
                <w:szCs w:val="18"/>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海韵、洛克铂金、希尔顿花园，大东海酒店、三亚湾假日</w:t>
            </w:r>
          </w:p>
        </w:tc>
      </w:tr>
      <w:tr>
        <w:tblPrEx>
          <w:tblLayout w:type="fixed"/>
          <w:tblCellMar>
            <w:top w:w="113" w:type="dxa"/>
            <w:left w:w="57" w:type="dxa"/>
            <w:bottom w:w="113" w:type="dxa"/>
            <w:right w:w="57" w:type="dxa"/>
          </w:tblCellMar>
        </w:tblPrEx>
        <w:trPr>
          <w:trHeight w:val="426" w:hRule="atLeast"/>
          <w:jc w:val="center"/>
        </w:trPr>
        <w:tc>
          <w:tcPr>
            <w:tcW w:w="11225" w:type="dxa"/>
            <w:gridSpan w:val="6"/>
            <w:tcBorders>
              <w:top w:val="single" w:color="FFFFFF" w:sz="4" w:space="0"/>
              <w:left w:val="single" w:color="FFFFFF" w:sz="4" w:space="0"/>
              <w:right w:val="single" w:color="FFFFFF" w:sz="4" w:space="0"/>
              <w:tl2br w:val="nil"/>
              <w:tr2bl w:val="nil"/>
            </w:tcBorders>
            <w:shd w:val="clear" w:color="auto" w:fill="auto"/>
            <w:vAlign w:val="center"/>
          </w:tcPr>
          <w:p>
            <w:pPr>
              <w:spacing w:line="280" w:lineRule="exact"/>
              <w:rPr>
                <w:color w:val="262626" w:themeColor="text1" w:themeTint="D9"/>
                <w14:textFill>
                  <w14:solidFill>
                    <w14:schemeClr w14:val="tx1">
                      <w14:lumMod w14:val="85000"/>
                      <w14:lumOff w14:val="15000"/>
                    </w14:schemeClr>
                  </w14:solidFill>
                </w14:textFill>
              </w:rPr>
            </w:pPr>
            <w:r>
              <w:rPr>
                <w:rFonts w:hint="eastAsia" w:ascii="宋体" w:hAnsi="宋体"/>
                <w:color w:val="262626" w:themeColor="text1" w:themeTint="D9"/>
                <w:sz w:val="18"/>
                <w:szCs w:val="18"/>
                <w14:textFill>
                  <w14:solidFill>
                    <w14:schemeClr w14:val="tx1">
                      <w14:lumMod w14:val="85000"/>
                      <w14:lumOff w14:val="15000"/>
                    </w14:schemeClr>
                  </w14:solidFill>
                </w14:textFill>
              </w:rPr>
              <w:t>注：1、如遇旺季酒店房型售罄或酒店会议、政府活动占用等情形，我社将会升级至不低于以上所列标准的同类型酒店；2、夫妻情侣可根据房态免费申请大床，需要报名时确认申请；敬请谅解。</w:t>
            </w:r>
          </w:p>
        </w:tc>
      </w:tr>
    </w:tbl>
    <w:p>
      <w:pPr>
        <w:rPr>
          <w:rFonts w:ascii="宋体" w:hAnsi="宋体" w:eastAsia="宋体" w:cs="宋体"/>
          <w:color w:val="262626" w:themeColor="text1" w:themeTint="D9"/>
          <w:sz w:val="18"/>
          <w:szCs w:val="18"/>
          <w14:textFill>
            <w14:solidFill>
              <w14:schemeClr w14:val="tx1">
                <w14:lumMod w14:val="85000"/>
                <w14:lumOff w14:val="15000"/>
              </w14:schemeClr>
            </w14:solidFill>
          </w14:textFill>
        </w:rPr>
      </w:pPr>
    </w:p>
    <w:tbl>
      <w:tblPr>
        <w:tblStyle w:val="6"/>
        <w:tblpPr w:leftFromText="180" w:rightFromText="180" w:vertAnchor="text" w:horzAnchor="page" w:tblpX="415" w:tblpY="93"/>
        <w:tblOverlap w:val="never"/>
        <w:tblW w:w="11225" w:type="dxa"/>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
      <w:tblGrid>
        <w:gridCol w:w="11225"/>
      </w:tblGrid>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rPr>
          <w:trHeight w:val="452" w:hRule="atLeast"/>
        </w:trPr>
        <w:tc>
          <w:tcPr>
            <w:tcW w:w="11225" w:type="dxa"/>
            <w:shd w:val="clear" w:color="auto" w:fill="E60044"/>
            <w:vAlign w:val="center"/>
          </w:tcPr>
          <w:p>
            <w:pPr>
              <w:jc w:val="center"/>
              <w:rPr>
                <w:color w:val="FFFFFF" w:themeColor="background1"/>
                <w14:textFill>
                  <w14:solidFill>
                    <w14:schemeClr w14:val="bg1"/>
                  </w14:solidFill>
                </w14:textFill>
              </w:rPr>
            </w:pPr>
            <w:r>
              <w:rPr>
                <w:rFonts w:hint="eastAsia" w:ascii="宋体" w:hAnsi="宋体"/>
                <w:b/>
                <w:color w:val="FFFFFF" w:themeColor="background1"/>
                <w:sz w:val="28"/>
                <w:szCs w:val="28"/>
                <w14:textFill>
                  <w14:solidFill>
                    <w14:schemeClr w14:val="bg1"/>
                  </w14:solidFill>
                </w14:textFill>
              </w:rPr>
              <w:t xml:space="preserve">补充说明 </w:t>
            </w:r>
          </w:p>
        </w:tc>
      </w:tr>
      <w:tr>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fixed"/>
          <w:tblCellMar>
            <w:top w:w="57" w:type="dxa"/>
            <w:left w:w="57" w:type="dxa"/>
            <w:bottom w:w="57" w:type="dxa"/>
            <w:right w:w="57" w:type="dxa"/>
          </w:tblCellMar>
        </w:tblPrEx>
        <w:tc>
          <w:tcPr>
            <w:tcW w:w="11225" w:type="dxa"/>
            <w:tcBorders>
              <w:tl2br w:val="nil"/>
              <w:tr2bl w:val="nil"/>
            </w:tcBorders>
            <w:shd w:val="clear" w:color="auto" w:fill="auto"/>
          </w:tcPr>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海南酒店标准比内地偏低，请旅游者提前做好心理准备。如遇旺季酒店资源紧张或政府临时征用等特殊情况，我社有权调整为同等级标准酒店。酒店的退房时间为中午的12:00，返程为晚班机的旅游者可把行李寄存在酒店前台后自由活动或自行开钟点房休息。我司默认安排双床，夫妻情侣可根据房态免费申请大床，需要报名时确认申请，不保证安排。且酒店以当天入住为准，不提前指定酒店。行程报价中所含房费按双人标准间/2人核算。如要求三人间或加床，需视入住酒店房型及预订情况而定，通常酒店标准间内加床为钢丝床或床垫等非标准床。</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2、旅行社旅游产品中所包含的飞机票多为团队往返折扣票，依照航空公司规定，不得更改、签转、退票。请成人（16周岁以上）带好有效的证件（身份证），儿童带好户口本；国家民航局规定：旅客乘机随身不得携带净含量超出100毫升的流质性液体（如饮料、牙膏、洗发液等），可将此物品放进行李包里进行托运（请紧好盖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3、特别提示：部分景区由于交通工具的特殊性，故对旅游者的年龄和身体条件有相应的要求。如岛屿类（蜈支洲岛、分界洲岛、西岛等）景区规定60岁以上及行动不便游客（包括孕妇）需填写景区的免责声明方可登船上岛；70周岁以上老年人出于安全考虑，景区不予接待（我社按团队采购成本价格予以退费），敬请知晓。</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4、我们承诺绝不减少餐标，但海南饮食口味清淡，且海南物价水平较高，且各团队餐厅菜式比较雷同，餐未必能达到亲的要求，建议您可自带些咸菜或辣椒酱等佐餐。旅游期间切勿吃生食、生海鲜等，不可光顾路边无牌照摊档，忌暴饮暴食，应多喝开水，多吃蔬菜水果，少抽烟，少喝酒。因私自食用不洁食品和海鲜引起的肠胃疾病，旅行社不承担经济赔偿责任。</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5、行程中旅游用车由海南省旅游汽车中心统一调度，保证一人一正座（26座以下旅游车无行李箱）。且旅游车队属于政府调度中心统一负责，不归旅行社管理，如果遇到司机细节服务不够完美地方，敬请您谅解。抵达海南前24小时内取消合同的游客（如因航班延误无法抵达等），需向我社交已经产生的旅游车位费及合同约定的其它费用约400元/人。</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6、如遇人力不可抗拒因素（台风、暴雨、检修等）或政策性调整（博鳌亚洲论坛会议期间、全国性娱乐停演等）导致无法游览的景点和项目，我社有权取消或根据景区实际运营情况，更换为其它等价景点或项目；赠送景点和项目费用不退，并有权将景点及住宿顺序做相应调整；出游过程中，如产生退费情况，以退费项目旅行社折扣价为依据，均不以挂牌价为准。海南部分景区及酒店为方便旅游者有自设的商场及购物场所，并非我社安排的旅游购物店，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7、海南气候炎热，紫外线照射强烈，雨水充沛，请带好必备的防晒用品、太阳镜、太阳帽、雨伞，海南旅游需尽量穿旅游鞋，应避免穿皮鞋、高跟鞋。为防止旅途中水土不服，建议旅游者应自备一些清热、解暑的药或冲剂等常用药品以备不时之需，切勿随意服用他人提供的药品。海南是著名的海滨旅游胜地，请自备拖鞋、泳衣泳裤等。且需注意人身安全，请勿私自下海。</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8、请避免离团活动，如确有需要，请提前以短信或书面方式通报导游，并在约定时间内准时归队。对于存在安全隐患，治安不理想的地区，请游客避免前往。自由活动期间请结伴而行，避免单独行动。非本公司组织安排的游览活动，旅游者自行承担风险。由此发生的损失及纠纷，由旅游者自行承担和解决，旅行社不承担任何责任。夜间或自由活动期间宜结伴同行并告知导游，记好导游手机号备用，注意人身和财物安全。贵重物品可寄存在酒店前台保险柜，下榻的酒店的名称位置也要记牢，不要随便相信陌生人，特别是三轮摩托车、街头发小广告者，天下没有免费的午餐。</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9、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10、请配合导游如实填写当地《游客意见书》，游客的投诉诉求以在海南当地，旅游者自行填写的意见单为主要依据。不填或虚填者归来后的投诉将不予受理，如在行程进行中对旅行社的服务标准有异议，请尽量在海南当地解决（24小时客服热线：0898-66740099）。客服如在旅游期间在当地解决不了，可在当地备案，提醒：旅游投诉时效为返回出发地起30天内有效。</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11、海南娱乐活动丰富，潜水、拖伞、香蕉船等；除了我们行程中包含的景点外，您在景区自由活动休息的时候也可以自行参加另付费娱乐项目（价格请参考上页自费项目表和挂牌价）。并提前告知，由导游根据最佳时间进行合理安排，不给旅游留下遗憾。</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12、本线路全程不推荐任何行程外购物店，海上自愿娱乐项目、景区内交通工具及特色演出均为游客自行自愿选择（</w:t>
            </w:r>
            <w:r>
              <w:rPr>
                <w:rFonts w:hint="eastAsia" w:asciiTheme="minorEastAsia" w:hAnsiTheme="minorEastAsia" w:cstheme="minorEastAsia"/>
                <w:b/>
                <w:sz w:val="18"/>
                <w:szCs w:val="21"/>
              </w:rPr>
              <w:t>夜游三亚湾288元/人、千古情演绎300元/人、红色娘子军演出260元/人,</w:t>
            </w:r>
            <w:r>
              <w:rPr>
                <w:rFonts w:hint="eastAsia" w:asciiTheme="minorEastAsia" w:hAnsiTheme="minorEastAsia" w:cstheme="minorEastAsia"/>
                <w:sz w:val="18"/>
                <w:szCs w:val="21"/>
              </w:rPr>
              <w:t>实际价格请以运营商公布为准）。景区内购物，海南部分景区及酒店为方便旅游者有自设的商场及购物场所，并非我社安排的旅游购物店，属于第三方与您之间自愿行为，此类投诉我社无法受理，敬请谅解。</w:t>
            </w:r>
          </w:p>
          <w:p>
            <w:pPr>
              <w:spacing w:before="62" w:beforeLines="20" w:after="62" w:afterLines="20"/>
              <w:ind w:left="270" w:hanging="270" w:hangingChars="150"/>
              <w:rPr>
                <w:rFonts w:asciiTheme="minorEastAsia" w:hAnsiTheme="minorEastAsia" w:cstheme="minorEastAsia"/>
                <w:sz w:val="18"/>
                <w:szCs w:val="21"/>
              </w:rPr>
            </w:pPr>
            <w:r>
              <w:rPr>
                <w:rFonts w:hint="eastAsia" w:asciiTheme="minorEastAsia" w:hAnsiTheme="minorEastAsia" w:cstheme="minorEastAsia"/>
                <w:sz w:val="18"/>
                <w:szCs w:val="21"/>
              </w:rPr>
              <w:t>13、行程中标注的时间可能因堵车、排队等情况有所不同；部分景区团队旅游可能会排队等候，因等候而延误或减少游览时间，游客请谅解并配合。因排队引发投诉旅行社无法受理。该产品报价为综合优惠价格，持军官证、导游证、记者证、教师证、残疾证等证件不能减免门票费用。</w:t>
            </w:r>
          </w:p>
          <w:p>
            <w:pPr>
              <w:spacing w:before="62" w:beforeLines="20" w:after="62" w:afterLines="20"/>
              <w:ind w:left="271" w:hanging="271" w:hangingChars="150"/>
              <w:rPr>
                <w:rFonts w:ascii="微软雅黑" w:hAnsi="微软雅黑" w:eastAsia="微软雅黑"/>
                <w:color w:val="262626" w:themeColor="text1" w:themeTint="D9"/>
                <w:szCs w:val="21"/>
                <w14:textFill>
                  <w14:solidFill>
                    <w14:schemeClr w14:val="tx1">
                      <w14:lumMod w14:val="85000"/>
                      <w14:lumOff w14:val="15000"/>
                    </w14:schemeClr>
                  </w14:solidFill>
                </w14:textFill>
              </w:rPr>
            </w:pPr>
            <w:r>
              <w:rPr>
                <w:rFonts w:hint="eastAsia" w:asciiTheme="minorEastAsia" w:hAnsiTheme="minorEastAsia" w:cstheme="minorEastAsia"/>
                <w:b/>
                <w:bCs/>
                <w:sz w:val="18"/>
                <w:szCs w:val="18"/>
              </w:rPr>
              <w:t>14、因本线路较为特色，如当日参团人数不足8人，我社将为您提供以下二种选择方案：（1）免费升级相关同类产品（不低于原线路成本价值）；（2）通过您委托当地旅行社代租自驾游车辆，我社派专职司机兼导游为您提供全程服务，如有异议请慎重选择，敬请谅解。</w:t>
            </w:r>
          </w:p>
        </w:tc>
      </w:tr>
    </w:tbl>
    <w:p>
      <w:pPr>
        <w:rPr>
          <w:color w:val="262626" w:themeColor="text1" w:themeTint="D9"/>
          <w:sz w:val="18"/>
          <w:szCs w:val="18"/>
          <w14:textFill>
            <w14:solidFill>
              <w14:schemeClr w14:val="tx1">
                <w14:lumMod w14:val="85000"/>
                <w14:lumOff w14:val="15000"/>
              </w14:schemeClr>
            </w14:solidFill>
          </w14:textFill>
        </w:rPr>
      </w:pPr>
    </w:p>
    <w:sectPr>
      <w:footerReference r:id="rId3" w:type="default"/>
      <w:pgSz w:w="11906" w:h="16838"/>
      <w:pgMar w:top="340" w:right="340" w:bottom="340" w:left="340" w:header="232" w:footer="35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100E4F"/>
    <w:rsid w:val="0001212C"/>
    <w:rsid w:val="00012CDC"/>
    <w:rsid w:val="00022993"/>
    <w:rsid w:val="0002504F"/>
    <w:rsid w:val="00045BEA"/>
    <w:rsid w:val="00065C4C"/>
    <w:rsid w:val="000E673D"/>
    <w:rsid w:val="000F03FD"/>
    <w:rsid w:val="00111A76"/>
    <w:rsid w:val="00190415"/>
    <w:rsid w:val="001A4D21"/>
    <w:rsid w:val="001A5209"/>
    <w:rsid w:val="001B2CFF"/>
    <w:rsid w:val="001C1408"/>
    <w:rsid w:val="00212659"/>
    <w:rsid w:val="00237456"/>
    <w:rsid w:val="002950DF"/>
    <w:rsid w:val="002B7AEC"/>
    <w:rsid w:val="002D0999"/>
    <w:rsid w:val="002E497D"/>
    <w:rsid w:val="0030206D"/>
    <w:rsid w:val="00324C8A"/>
    <w:rsid w:val="003429D6"/>
    <w:rsid w:val="003669FC"/>
    <w:rsid w:val="003D1687"/>
    <w:rsid w:val="00402071"/>
    <w:rsid w:val="0040236A"/>
    <w:rsid w:val="00467491"/>
    <w:rsid w:val="00473CE0"/>
    <w:rsid w:val="004B1173"/>
    <w:rsid w:val="004C4261"/>
    <w:rsid w:val="00515C03"/>
    <w:rsid w:val="00545618"/>
    <w:rsid w:val="00560C3D"/>
    <w:rsid w:val="005679EA"/>
    <w:rsid w:val="005805A8"/>
    <w:rsid w:val="005B567C"/>
    <w:rsid w:val="00607267"/>
    <w:rsid w:val="00615F52"/>
    <w:rsid w:val="00621924"/>
    <w:rsid w:val="00623296"/>
    <w:rsid w:val="00626ACE"/>
    <w:rsid w:val="0067144B"/>
    <w:rsid w:val="00686BB3"/>
    <w:rsid w:val="006F2B46"/>
    <w:rsid w:val="00740A88"/>
    <w:rsid w:val="007503C8"/>
    <w:rsid w:val="00756178"/>
    <w:rsid w:val="00756E22"/>
    <w:rsid w:val="007605D7"/>
    <w:rsid w:val="007762F9"/>
    <w:rsid w:val="00780BF5"/>
    <w:rsid w:val="007A2127"/>
    <w:rsid w:val="007E1FD6"/>
    <w:rsid w:val="007F0B24"/>
    <w:rsid w:val="0082347B"/>
    <w:rsid w:val="00827BCA"/>
    <w:rsid w:val="0084075B"/>
    <w:rsid w:val="00845D39"/>
    <w:rsid w:val="0085454E"/>
    <w:rsid w:val="00861E84"/>
    <w:rsid w:val="00867E65"/>
    <w:rsid w:val="0087288E"/>
    <w:rsid w:val="00895367"/>
    <w:rsid w:val="008B392F"/>
    <w:rsid w:val="008C5D90"/>
    <w:rsid w:val="008C6197"/>
    <w:rsid w:val="008E0D04"/>
    <w:rsid w:val="008E67AA"/>
    <w:rsid w:val="009171F7"/>
    <w:rsid w:val="00944345"/>
    <w:rsid w:val="00953736"/>
    <w:rsid w:val="009B433C"/>
    <w:rsid w:val="009D311D"/>
    <w:rsid w:val="009E0584"/>
    <w:rsid w:val="009F75F4"/>
    <w:rsid w:val="00A1695A"/>
    <w:rsid w:val="00A52BE0"/>
    <w:rsid w:val="00A76EAA"/>
    <w:rsid w:val="00A83F87"/>
    <w:rsid w:val="00AD1394"/>
    <w:rsid w:val="00AD4267"/>
    <w:rsid w:val="00B0378A"/>
    <w:rsid w:val="00B139D4"/>
    <w:rsid w:val="00B30C1E"/>
    <w:rsid w:val="00B35E17"/>
    <w:rsid w:val="00B462DC"/>
    <w:rsid w:val="00B55630"/>
    <w:rsid w:val="00BF0D67"/>
    <w:rsid w:val="00BF3F95"/>
    <w:rsid w:val="00C06A3C"/>
    <w:rsid w:val="00C24052"/>
    <w:rsid w:val="00C35765"/>
    <w:rsid w:val="00C373C7"/>
    <w:rsid w:val="00C80C48"/>
    <w:rsid w:val="00CC007B"/>
    <w:rsid w:val="00CE7536"/>
    <w:rsid w:val="00D0445D"/>
    <w:rsid w:val="00D96258"/>
    <w:rsid w:val="00DF5895"/>
    <w:rsid w:val="00E130AF"/>
    <w:rsid w:val="00E16440"/>
    <w:rsid w:val="00E24038"/>
    <w:rsid w:val="00E32E1E"/>
    <w:rsid w:val="00E44EA4"/>
    <w:rsid w:val="00E627C6"/>
    <w:rsid w:val="00ED137D"/>
    <w:rsid w:val="00EE611B"/>
    <w:rsid w:val="00F06DE7"/>
    <w:rsid w:val="00F10CB4"/>
    <w:rsid w:val="00F33C8C"/>
    <w:rsid w:val="00F81F3F"/>
    <w:rsid w:val="00F96CDA"/>
    <w:rsid w:val="00FC73B6"/>
    <w:rsid w:val="01786AC3"/>
    <w:rsid w:val="02E8169C"/>
    <w:rsid w:val="03AD0433"/>
    <w:rsid w:val="05EA05B9"/>
    <w:rsid w:val="060B3707"/>
    <w:rsid w:val="07EB79D6"/>
    <w:rsid w:val="09956601"/>
    <w:rsid w:val="0B952A4F"/>
    <w:rsid w:val="0BA115A6"/>
    <w:rsid w:val="0BD0782D"/>
    <w:rsid w:val="0D6367E4"/>
    <w:rsid w:val="0E21654B"/>
    <w:rsid w:val="0FBF45E5"/>
    <w:rsid w:val="10F25672"/>
    <w:rsid w:val="13DA3184"/>
    <w:rsid w:val="150A19EE"/>
    <w:rsid w:val="17C82FF6"/>
    <w:rsid w:val="186C2F22"/>
    <w:rsid w:val="194E7053"/>
    <w:rsid w:val="1C627327"/>
    <w:rsid w:val="221456E5"/>
    <w:rsid w:val="2436699F"/>
    <w:rsid w:val="258955DB"/>
    <w:rsid w:val="27B95819"/>
    <w:rsid w:val="2AF34A54"/>
    <w:rsid w:val="2B4262A0"/>
    <w:rsid w:val="2B4630D5"/>
    <w:rsid w:val="2BE222CE"/>
    <w:rsid w:val="2D0D48B7"/>
    <w:rsid w:val="2D261485"/>
    <w:rsid w:val="2E23470E"/>
    <w:rsid w:val="30DB5145"/>
    <w:rsid w:val="31015BBD"/>
    <w:rsid w:val="33D267C2"/>
    <w:rsid w:val="37666670"/>
    <w:rsid w:val="389B3FA8"/>
    <w:rsid w:val="39B73441"/>
    <w:rsid w:val="39E40528"/>
    <w:rsid w:val="3A3A58FD"/>
    <w:rsid w:val="3A6401D0"/>
    <w:rsid w:val="3BBC1E1E"/>
    <w:rsid w:val="433726E9"/>
    <w:rsid w:val="44AC71E3"/>
    <w:rsid w:val="455005EE"/>
    <w:rsid w:val="459D00E8"/>
    <w:rsid w:val="4BEE6E41"/>
    <w:rsid w:val="4D0C0565"/>
    <w:rsid w:val="4ECC72E7"/>
    <w:rsid w:val="511D4FF2"/>
    <w:rsid w:val="55A47791"/>
    <w:rsid w:val="55D10FF9"/>
    <w:rsid w:val="58C36125"/>
    <w:rsid w:val="58ED356E"/>
    <w:rsid w:val="5A4A4598"/>
    <w:rsid w:val="5CF4716A"/>
    <w:rsid w:val="5D1B22F7"/>
    <w:rsid w:val="61A902A4"/>
    <w:rsid w:val="69BC29FC"/>
    <w:rsid w:val="6D301E87"/>
    <w:rsid w:val="6DCB6833"/>
    <w:rsid w:val="6F327058"/>
    <w:rsid w:val="6F6E2C29"/>
    <w:rsid w:val="6FFC6A05"/>
    <w:rsid w:val="701E7300"/>
    <w:rsid w:val="718D74B4"/>
    <w:rsid w:val="738E2FE7"/>
    <w:rsid w:val="739D3E76"/>
    <w:rsid w:val="740C1D6B"/>
    <w:rsid w:val="778B1DFE"/>
    <w:rsid w:val="790763EE"/>
    <w:rsid w:val="7C100E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Times New Roman"/>
      <w:kern w:val="0"/>
      <w:sz w:val="24"/>
      <w:szCs w:val="20"/>
    </w:rPr>
  </w:style>
  <w:style w:type="character" w:customStyle="1" w:styleId="8">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Pages>
  <Words>4069</Words>
  <Characters>253</Characters>
  <Lines>2</Lines>
  <Paragraphs>8</Paragraphs>
  <TotalTime>1</TotalTime>
  <ScaleCrop>false</ScaleCrop>
  <LinksUpToDate>false</LinksUpToDate>
  <CharactersWithSpaces>4314</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2018-01-23T09:18:00Z</dcterms:created>
  <dc:creator>Administrator</dc:creator>
  <cp:lastModifiedBy>Administrator</cp:lastModifiedBy>
  <dcterms:modified xsi:type="dcterms:W3CDTF">2019-09-30T04:06:06Z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