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656192" behindDoc="1" locked="0" layoutInCell="1" allowOverlap="1">
            <wp:simplePos x="0" y="0"/>
            <wp:positionH relativeFrom="column">
              <wp:posOffset>-219075</wp:posOffset>
            </wp:positionH>
            <wp:positionV relativeFrom="paragraph">
              <wp:posOffset>-234315</wp:posOffset>
            </wp:positionV>
            <wp:extent cx="7585075" cy="10717530"/>
            <wp:effectExtent l="0" t="0" r="15875" b="7620"/>
            <wp:wrapNone/>
            <wp:docPr id="6" name="图片 6"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7"/>
                    <pic:cNvPicPr>
                      <a:picLocks noChangeAspect="1"/>
                    </pic:cNvPicPr>
                  </pic:nvPicPr>
                  <pic:blipFill>
                    <a:blip r:embed="rId6"/>
                    <a:stretch>
                      <a:fillRect/>
                    </a:stretch>
                  </pic:blipFill>
                  <pic:spPr>
                    <a:xfrm>
                      <a:off x="0" y="0"/>
                      <a:ext cx="7585075" cy="1071753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4860290</wp:posOffset>
            </wp:positionH>
            <wp:positionV relativeFrom="paragraph">
              <wp:posOffset>-3638550</wp:posOffset>
            </wp:positionV>
            <wp:extent cx="574675" cy="343535"/>
            <wp:effectExtent l="0" t="0" r="0" b="0"/>
            <wp:wrapNone/>
            <wp:docPr id="8" name="图片 8"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等待标志"/>
                    <pic:cNvPicPr>
                      <a:picLocks noChangeAspect="1"/>
                    </pic:cNvPicPr>
                  </pic:nvPicPr>
                  <pic:blipFill>
                    <a:blip r:embed="rId7"/>
                    <a:stretch>
                      <a:fillRect/>
                    </a:stretch>
                  </pic:blipFill>
                  <pic:spPr>
                    <a:xfrm>
                      <a:off x="0" y="0"/>
                      <a:ext cx="574675" cy="343535"/>
                    </a:xfrm>
                    <a:prstGeom prst="rect">
                      <a:avLst/>
                    </a:prstGeom>
                  </pic:spPr>
                </pic:pic>
              </a:graphicData>
            </a:graphic>
          </wp:anchor>
        </w:drawing>
      </w:r>
    </w:p>
    <w:p>
      <w:r>
        <w:drawing>
          <wp:anchor distT="0" distB="0" distL="114300" distR="114300" simplePos="0" relativeHeight="251661312" behindDoc="0" locked="0" layoutInCell="1" allowOverlap="1">
            <wp:simplePos x="0" y="0"/>
            <wp:positionH relativeFrom="column">
              <wp:posOffset>-215900</wp:posOffset>
            </wp:positionH>
            <wp:positionV relativeFrom="paragraph">
              <wp:posOffset>-196850</wp:posOffset>
            </wp:positionV>
            <wp:extent cx="7548880" cy="10661650"/>
            <wp:effectExtent l="0" t="0" r="0" b="635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880" cy="10661650"/>
                    </a:xfrm>
                    <a:prstGeom prst="rect">
                      <a:avLst/>
                    </a:prstGeom>
                  </pic:spPr>
                </pic:pic>
              </a:graphicData>
            </a:graphic>
          </wp:anchor>
        </w:drawing>
      </w:r>
    </w:p>
    <w:p>
      <w:pPr>
        <w:spacing w:line="280" w:lineRule="exact"/>
        <w:rPr>
          <w:rFonts w:ascii="Arial" w:hAnsi="Arial" w:cs="Arial"/>
          <w:bCs/>
          <w:sz w:val="18"/>
          <w:szCs w:val="18"/>
        </w:rPr>
      </w:pPr>
      <w:r>
        <w:drawing>
          <wp:anchor distT="0" distB="0" distL="114300" distR="114300" simplePos="0" relativeHeight="251662336" behindDoc="0" locked="0" layoutInCell="1" allowOverlap="1">
            <wp:simplePos x="0" y="0"/>
            <wp:positionH relativeFrom="column">
              <wp:posOffset>-215900</wp:posOffset>
            </wp:positionH>
            <wp:positionV relativeFrom="paragraph">
              <wp:posOffset>-214630</wp:posOffset>
            </wp:positionV>
            <wp:extent cx="7558405" cy="10687050"/>
            <wp:effectExtent l="0" t="0" r="444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05" cy="10687050"/>
                    </a:xfrm>
                    <a:prstGeom prst="rect">
                      <a:avLst/>
                    </a:prstGeom>
                  </pic:spPr>
                </pic:pic>
              </a:graphicData>
            </a:graphic>
          </wp:anchor>
        </w:drawing>
      </w:r>
      <w:r>
        <w:rPr>
          <w:rFonts w:hint="eastAsia" w:ascii="Arial" w:hAnsi="Arial" w:cs="Arial"/>
          <w:b/>
          <w:bCs/>
          <w:color w:val="C00000"/>
          <w:szCs w:val="21"/>
        </w:rPr>
        <w:t>私人定制：</w:t>
      </w:r>
      <w:r>
        <w:rPr>
          <w:rFonts w:hint="eastAsia" w:ascii="Arial" w:hAnsi="Arial" w:cs="Arial"/>
          <w:bCs/>
          <w:sz w:val="18"/>
          <w:szCs w:val="18"/>
        </w:rPr>
        <w:t>亚特兰蒂斯水上公园、亚特兰蒂斯水族馆免费无限次畅玩</w:t>
      </w:r>
    </w:p>
    <w:p>
      <w:r>
        <w:drawing>
          <wp:anchor distT="0" distB="0" distL="114300" distR="114300" simplePos="0" relativeHeight="251667456" behindDoc="0" locked="0" layoutInCell="1" allowOverlap="1">
            <wp:simplePos x="0" y="0"/>
            <wp:positionH relativeFrom="column">
              <wp:posOffset>-215900</wp:posOffset>
            </wp:positionH>
            <wp:positionV relativeFrom="paragraph">
              <wp:posOffset>-215900</wp:posOffset>
            </wp:positionV>
            <wp:extent cx="7564755" cy="1069276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4755" cy="1069276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3"/>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tabs>
                <w:tab w:val="left" w:pos="4116"/>
                <w:tab w:val="center" w:pos="5555"/>
              </w:tabs>
              <w:jc w:val="left"/>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ascii="微软雅黑" w:hAnsi="微软雅黑" w:eastAsia="微软雅黑"/>
                <w:b/>
                <w:iCs/>
                <w:color w:val="FFFFFF" w:themeColor="background1"/>
                <w:sz w:val="36"/>
                <w14:textFill>
                  <w14:solidFill>
                    <w14:schemeClr w14:val="bg1"/>
                  </w14:solidFill>
                </w14:textFill>
              </w:rPr>
              <w:tab/>
            </w:r>
            <w:r>
              <w:rPr>
                <w:rFonts w:ascii="微软雅黑" w:hAnsi="微软雅黑" w:eastAsia="微软雅黑"/>
                <w:b/>
                <w:iCs/>
                <w:color w:val="FFFFFF" w:themeColor="background1"/>
                <w:sz w:val="36"/>
                <w14:textFill>
                  <w14:solidFill>
                    <w14:schemeClr w14:val="bg1"/>
                  </w14:solidFill>
                </w14:textFill>
              </w:rPr>
              <w:tab/>
            </w: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海岛蜜语</w:t>
            </w:r>
          </w:p>
        </w:tc>
      </w:tr>
      <w:tr>
        <w:tblPrEx>
          <w:tblLayout w:type="fixed"/>
          <w:tblCellMar>
            <w:top w:w="57" w:type="dxa"/>
            <w:left w:w="57" w:type="dxa"/>
            <w:bottom w:w="57" w:type="dxa"/>
            <w:right w:w="57" w:type="dxa"/>
          </w:tblCellMar>
        </w:tblPrEx>
        <w:trPr>
          <w:trHeight w:val="446" w:hRule="atLeast"/>
          <w:jc w:val="center"/>
        </w:trPr>
        <w:tc>
          <w:tcPr>
            <w:tcW w:w="8348" w:type="dxa"/>
            <w:gridSpan w:val="3"/>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single" w:color="FFFFFF" w:sz="4" w:space="0"/>
              <w:bottom w:val="single" w:color="FFFFFF" w:sz="4" w:space="0"/>
              <w:right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甜蜜住宿：</w:t>
            </w:r>
          </w:p>
          <w:p>
            <w:pPr>
              <w:spacing w:line="280" w:lineRule="exact"/>
              <w:rPr>
                <w:rFonts w:ascii="宋体" w:hAnsi="宋体"/>
                <w:sz w:val="20"/>
                <w:szCs w:val="20"/>
              </w:rPr>
            </w:pPr>
            <w:r>
              <w:rPr>
                <w:rFonts w:hint="eastAsia" w:ascii="宋体" w:hAnsi="宋体"/>
                <w:sz w:val="18"/>
                <w:szCs w:val="18"/>
              </w:rPr>
              <w:t>全程一线海边酒店海景大床房，1晚升级水中奇迹·亚特兰蒂斯</w:t>
            </w:r>
            <w:r>
              <w:rPr>
                <w:rFonts w:hint="eastAsia" w:ascii="宋体" w:hAnsi="宋体"/>
                <w:sz w:val="20"/>
                <w:szCs w:val="20"/>
              </w:rPr>
              <w:t>；</w:t>
            </w:r>
          </w:p>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私人定制：</w:t>
            </w:r>
          </w:p>
          <w:p>
            <w:pPr>
              <w:spacing w:line="280" w:lineRule="exact"/>
              <w:rPr>
                <w:rFonts w:asciiTheme="minorEastAsia" w:hAnsiTheme="minorEastAsia"/>
                <w:sz w:val="18"/>
                <w:szCs w:val="18"/>
              </w:rPr>
            </w:pPr>
            <w:r>
              <w:rPr>
                <w:rFonts w:hint="eastAsia" w:ascii="Arial" w:hAnsi="Arial" w:cs="Arial"/>
                <w:bCs/>
                <w:sz w:val="18"/>
                <w:szCs w:val="18"/>
              </w:rPr>
              <w:t>亚特兰蒂斯水上公园、亚特兰蒂斯水族馆免费无限次畅玩</w:t>
            </w:r>
            <w:r>
              <w:rPr>
                <w:rFonts w:hint="eastAsia" w:asciiTheme="minorEastAsia" w:hAnsiTheme="minorEastAsia"/>
                <w:sz w:val="18"/>
                <w:szCs w:val="18"/>
              </w:rPr>
              <w:t>；</w:t>
            </w:r>
          </w:p>
          <w:p>
            <w:pPr>
              <w:spacing w:line="280" w:lineRule="exact"/>
              <w:rPr>
                <w:rFonts w:cs="Arial" w:asciiTheme="minorEastAsia" w:hAnsiTheme="minorEastAsia"/>
                <w:b/>
                <w:bCs/>
                <w:color w:val="C00000"/>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恋之美味：</w:t>
            </w:r>
          </w:p>
          <w:p>
            <w:pPr>
              <w:rPr>
                <w:rFonts w:ascii="宋体" w:hAnsi="宋体"/>
                <w:sz w:val="18"/>
                <w:szCs w:val="18"/>
              </w:rPr>
            </w:pPr>
            <w:r>
              <w:rPr>
                <w:rFonts w:hint="eastAsia" w:ascii="宋体" w:hAnsi="宋体"/>
                <w:sz w:val="18"/>
                <w:szCs w:val="18"/>
              </w:rPr>
              <w:t>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“蟹鲍海鲜餐1份/人”、</w:t>
            </w:r>
            <w:r>
              <w:rPr>
                <w:rFonts w:hint="eastAsia" w:ascii="宋体" w:hAnsi="宋体"/>
                <w:sz w:val="18"/>
                <w:szCs w:val="18"/>
              </w:rPr>
              <w:t xml:space="preserve"> “波隆野菜自助餐”各1次；</w:t>
            </w:r>
          </w:p>
          <w:p>
            <w:pPr>
              <w:spacing w:line="280" w:lineRule="exact"/>
              <w:rPr>
                <w:rFonts w:cs="Arial" w:asciiTheme="minorEastAsia" w:hAnsiTheme="minorEastAsia"/>
                <w:b/>
                <w:bCs/>
                <w:color w:val="C00000"/>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蜜语路线：</w:t>
            </w:r>
          </w:p>
          <w:p>
            <w:pPr>
              <w:rPr>
                <w:rFonts w:ascii="宋体" w:hAnsi="宋体"/>
                <w:sz w:val="18"/>
                <w:szCs w:val="18"/>
              </w:rPr>
            </w:pPr>
            <w:r>
              <w:rPr>
                <w:rFonts w:hint="eastAsia" w:ascii="宋体" w:hAnsi="宋体"/>
                <w:sz w:val="18"/>
                <w:szCs w:val="18"/>
              </w:rPr>
              <w:t>5A蜈支洲岛、5A槟榔谷、4A亚龙湾热带天堂森林公园、赠海景摩天轮；</w:t>
            </w:r>
          </w:p>
          <w:p>
            <w:pPr>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美好相伴：</w:t>
            </w:r>
          </w:p>
          <w:p>
            <w:pPr>
              <w:rPr>
                <w:rFonts w:ascii="宋体" w:hAnsi="宋体"/>
                <w:sz w:val="18"/>
                <w:szCs w:val="18"/>
              </w:rPr>
            </w:pPr>
            <w:r>
              <w:rPr>
                <w:rFonts w:hint="eastAsia" w:ascii="宋体" w:hAnsi="宋体"/>
                <w:sz w:val="18"/>
                <w:szCs w:val="18"/>
              </w:rPr>
              <w:t>情感专家品牌组导游全程服务，体验后才能知道—这样的跟团旅行物超所值；</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接待诚诺：</w:t>
            </w:r>
          </w:p>
          <w:p>
            <w:pPr>
              <w:rPr>
                <w:rFonts w:ascii="宋体" w:hAnsi="宋体"/>
                <w:sz w:val="18"/>
                <w:szCs w:val="18"/>
              </w:rPr>
            </w:pPr>
            <w:r>
              <w:rPr>
                <w:rFonts w:hint="eastAsia" w:ascii="宋体" w:hAnsi="宋体"/>
                <w:sz w:val="18"/>
                <w:szCs w:val="18"/>
              </w:rPr>
              <w:t>0购物+0自费：</w:t>
            </w:r>
          </w:p>
          <w:p>
            <w:pPr>
              <w:rPr>
                <w:rFonts w:ascii="Arial" w:hAnsi="Arial" w:cs="Arial"/>
                <w:b/>
                <w:bCs/>
                <w:color w:val="C00000"/>
                <w:szCs w:val="21"/>
                <w:highlight w:val="yellow"/>
              </w:rPr>
            </w:pPr>
            <w:r>
              <w:rPr>
                <w:rFonts w:hint="eastAsia" w:ascii="宋体" w:hAnsi="宋体"/>
                <w:sz w:val="18"/>
                <w:szCs w:val="18"/>
              </w:rPr>
              <w:t>全程不增加任何自费景点和购物店，不更换景点，不压缩游览时间，违约赔付2000元/人。</w:t>
            </w:r>
          </w:p>
        </w:tc>
      </w:tr>
      <w:tr>
        <w:tblPrEx>
          <w:tblLayout w:type="fixed"/>
          <w:tblCellMar>
            <w:top w:w="57" w:type="dxa"/>
            <w:left w:w="57" w:type="dxa"/>
            <w:bottom w:w="57" w:type="dxa"/>
            <w:right w:w="57" w:type="dxa"/>
          </w:tblCellMar>
        </w:tblPrEx>
        <w:trPr>
          <w:trHeight w:val="1271" w:hRule="atLeast"/>
          <w:jc w:val="center"/>
        </w:trPr>
        <w:tc>
          <w:tcPr>
            <w:tcW w:w="1863"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before="62" w:beforeLines="20" w:after="62" w:afterLines="20"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62" w:beforeLines="20" w:after="62" w:afterLines="20"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2556"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6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r>
              <w:rPr>
                <w:rFonts w:hint="eastAsia"/>
                <w:b/>
                <w:color w:val="E60044"/>
                <w:sz w:val="18"/>
                <w:szCs w:val="18"/>
                <w:lang w:val="zh-TW"/>
              </w:rPr>
              <w:t>三亚国际免税城</w:t>
            </w:r>
          </w:p>
          <w:p>
            <w:pPr>
              <w:pStyle w:val="5"/>
              <w:spacing w:before="62" w:beforeLines="20" w:beforeAutospacing="0" w:after="62" w:afterLines="20" w:afterAutospacing="0" w:line="26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62" w:beforeLines="20" w:after="62" w:afterLines="20" w:line="260" w:lineRule="exact"/>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（游览时间不少于90分钟）</w:t>
            </w:r>
            <w:r>
              <w:rPr>
                <w:rFonts w:hint="eastAsia"/>
                <w:sz w:val="18"/>
                <w:szCs w:val="18"/>
                <w:lang w:val="zh-TW"/>
              </w:rPr>
              <w:t>作为三亚新地标，聚集了香奈儿、兰蔻、阿玛尼等多种国际名品和丰盛美食，可充分享受国际旅游岛离岛免税政策带来的极大实惠与便利。</w:t>
            </w:r>
            <w:r>
              <w:rPr>
                <w:rFonts w:hint="eastAsia"/>
              </w:rPr>
              <w:t xml:space="preserve"> </w:t>
            </w:r>
          </w:p>
          <w:p>
            <w:pPr>
              <w:spacing w:before="62" w:beforeLines="20" w:after="62" w:afterLines="20" w:line="260" w:lineRule="exact"/>
              <w:rPr>
                <w:sz w:val="18"/>
                <w:szCs w:val="18"/>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line="26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49"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60" w:lineRule="exact"/>
              <w:rPr>
                <w:b/>
                <w:bCs/>
                <w:color w:val="E60044"/>
                <w:sz w:val="18"/>
                <w:szCs w:val="18"/>
              </w:rPr>
            </w:pPr>
            <w:r>
              <w:rPr>
                <w:rFonts w:hint="eastAsia"/>
                <w:color w:val="E60044"/>
                <w:sz w:val="18"/>
                <w:szCs w:val="18"/>
              </w:rPr>
              <w:t>景点安排：</w:t>
            </w:r>
            <w:r>
              <w:rPr>
                <w:rFonts w:hint="eastAsia"/>
                <w:b/>
                <w:color w:val="E60044"/>
                <w:sz w:val="18"/>
                <w:szCs w:val="18"/>
              </w:rPr>
              <w:t>槟榔谷—</w:t>
            </w:r>
            <w:r>
              <w:rPr>
                <w:rFonts w:hint="eastAsia"/>
                <w:b/>
                <w:bCs/>
                <w:color w:val="E60044"/>
                <w:sz w:val="18"/>
                <w:szCs w:val="18"/>
                <w:lang w:val="zh-TW"/>
              </w:rPr>
              <w:t>亚龙湾热带天堂森林公园</w:t>
            </w:r>
            <w:r>
              <w:rPr>
                <w:rFonts w:hint="eastAsia"/>
                <w:b/>
                <w:color w:val="E60044"/>
                <w:sz w:val="18"/>
                <w:szCs w:val="18"/>
              </w:rPr>
              <w:t>—赠海景摩天轮</w:t>
            </w:r>
          </w:p>
          <w:p>
            <w:pPr>
              <w:spacing w:before="62" w:beforeLines="20" w:after="62" w:afterLines="20" w:line="260" w:lineRule="exact"/>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spacing w:before="62" w:beforeLines="20" w:after="62" w:afterLines="20" w:line="260" w:lineRule="exact"/>
              <w:rPr>
                <w:rFonts w:asciiTheme="minorEastAsia" w:hAnsiTheme="minorEastAsia"/>
                <w:b/>
                <w:bCs/>
                <w:sz w:val="18"/>
                <w:szCs w:val="18"/>
              </w:rPr>
            </w:pPr>
            <w:r>
              <w:rPr>
                <w:rFonts w:hint="eastAsia" w:asciiTheme="minorEastAsia" w:hAnsiTheme="minorEastAsia"/>
                <w:bCs/>
                <w:sz w:val="18"/>
                <w:szCs w:val="18"/>
              </w:rPr>
              <w:t>午餐享用波隆野菜自助餐，别具特色的本土风味。</w:t>
            </w:r>
          </w:p>
          <w:p>
            <w:pPr>
              <w:spacing w:before="62" w:beforeLines="20" w:after="62" w:afterLines="20" w:line="260" w:lineRule="exact"/>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62" w:beforeLines="20" w:after="62" w:afterLines="20" w:line="276" w:lineRule="auto"/>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赠海景摩天轮：</w:t>
            </w:r>
            <w:r>
              <w:rPr>
                <w:rFonts w:hint="eastAsia"/>
                <w:color w:val="262626" w:themeColor="text1" w:themeTint="D9"/>
                <w:sz w:val="18"/>
                <w:szCs w:val="18"/>
                <w14:textFill>
                  <w14:solidFill>
                    <w14:schemeClr w14:val="tx1">
                      <w14:lumMod w14:val="85000"/>
                      <w14:lumOff w14:val="15000"/>
                    </w14:schemeClr>
                  </w14:solidFill>
                </w14:textFill>
              </w:rPr>
              <w:t>中国最南端海上</w:t>
            </w:r>
            <w:r>
              <w:rPr>
                <w:color w:val="262626" w:themeColor="text1" w:themeTint="D9"/>
                <w:sz w:val="18"/>
                <w:szCs w:val="18"/>
                <w14:textFill>
                  <w14:solidFill>
                    <w14:schemeClr w14:val="tx1">
                      <w14:lumMod w14:val="85000"/>
                      <w14:lumOff w14:val="15000"/>
                    </w14:schemeClr>
                  </w14:solidFill>
                </w14:textFill>
              </w:rPr>
              <w:t>88</w:t>
            </w:r>
            <w:r>
              <w:rPr>
                <w:rFonts w:hint="eastAsia"/>
                <w:color w:val="262626" w:themeColor="text1" w:themeTint="D9"/>
                <w:sz w:val="18"/>
                <w:szCs w:val="18"/>
                <w14:textFill>
                  <w14:solidFill>
                    <w14:schemeClr w14:val="tx1">
                      <w14:lumMod w14:val="85000"/>
                      <w14:lumOff w14:val="15000"/>
                    </w14:schemeClr>
                  </w14:solidFill>
                </w14:textFill>
              </w:rPr>
              <w:t>米高的“三亚之眼”，这样的摩天轮，你一定没有体验过，在此尽览</w:t>
            </w:r>
            <w:r>
              <w:rPr>
                <w:color w:val="262626" w:themeColor="text1" w:themeTint="D9"/>
                <w:sz w:val="18"/>
                <w:szCs w:val="18"/>
                <w14:textFill>
                  <w14:solidFill>
                    <w14:schemeClr w14:val="tx1">
                      <w14:lumMod w14:val="85000"/>
                      <w14:lumOff w14:val="15000"/>
                    </w14:schemeClr>
                  </w14:solidFill>
                </w14:textFill>
              </w:rPr>
              <w:t>360</w:t>
            </w:r>
            <w:r>
              <w:rPr>
                <w:rFonts w:hint="eastAsia"/>
                <w:color w:val="262626" w:themeColor="text1" w:themeTint="D9"/>
                <w:sz w:val="18"/>
                <w:szCs w:val="18"/>
                <w14:textFill>
                  <w14:solidFill>
                    <w14:schemeClr w14:val="tx1">
                      <w14:lumMod w14:val="85000"/>
                      <w14:lumOff w14:val="15000"/>
                    </w14:schemeClr>
                  </w14:solidFill>
                </w14:textFill>
              </w:rPr>
              <w:t>°中国最美海岸线吧。</w:t>
            </w:r>
            <w:r>
              <w:rPr>
                <w:rFonts w:hint="eastAsia"/>
                <w:color w:val="262626" w:themeColor="text1" w:themeTint="D9"/>
                <w:sz w:val="18"/>
                <w:szCs w:val="18"/>
                <w:u w:val="single"/>
                <w14:textFill>
                  <w14:solidFill>
                    <w14:schemeClr w14:val="tx1">
                      <w14:lumMod w14:val="85000"/>
                      <w14:lumOff w14:val="15000"/>
                    </w14:schemeClr>
                  </w14:solidFill>
                </w14:textFill>
              </w:rPr>
              <w:t>（身高</w:t>
            </w:r>
            <w:r>
              <w:rPr>
                <w:color w:val="262626" w:themeColor="text1" w:themeTint="D9"/>
                <w:sz w:val="18"/>
                <w:szCs w:val="18"/>
                <w:u w:val="single"/>
                <w14:textFill>
                  <w14:solidFill>
                    <w14:schemeClr w14:val="tx1">
                      <w14:lumMod w14:val="85000"/>
                      <w14:lumOff w14:val="15000"/>
                    </w14:schemeClr>
                  </w14:solidFill>
                </w14:textFill>
              </w:rPr>
              <w:t>1.4</w:t>
            </w:r>
            <w:r>
              <w:rPr>
                <w:rFonts w:hint="eastAsia"/>
                <w:color w:val="262626" w:themeColor="text1" w:themeTint="D9"/>
                <w:sz w:val="18"/>
                <w:szCs w:val="18"/>
                <w:u w:val="single"/>
                <w14:textFill>
                  <w14:solidFill>
                    <w14:schemeClr w14:val="tx1">
                      <w14:lumMod w14:val="85000"/>
                      <w14:lumOff w14:val="15000"/>
                    </w14:schemeClr>
                  </w14:solidFill>
                </w14:textFill>
              </w:rPr>
              <w:t>米（不含）以下儿童需成人陪同，</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名成人最多携带</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名儿童，此项目不用不退费）</w:t>
            </w:r>
          </w:p>
          <w:p>
            <w:pPr>
              <w:spacing w:before="62" w:beforeLines="20" w:after="62" w:afterLines="20"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中餐：波隆野菜自助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961"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60" w:lineRule="exact"/>
              <w:rPr>
                <w:b/>
                <w:bCs/>
                <w:color w:val="E60044"/>
                <w:sz w:val="18"/>
                <w:szCs w:val="18"/>
              </w:rPr>
            </w:pPr>
            <w:r>
              <w:rPr>
                <w:rFonts w:hint="eastAsia"/>
                <w:color w:val="E60044"/>
                <w:sz w:val="18"/>
                <w:szCs w:val="18"/>
              </w:rPr>
              <w:t>景点安排：</w:t>
            </w:r>
            <w:r>
              <w:rPr>
                <w:rFonts w:hint="eastAsia"/>
                <w:b/>
                <w:color w:val="E60044"/>
                <w:sz w:val="18"/>
                <w:szCs w:val="18"/>
              </w:rPr>
              <w:t>亚特兰蒂斯水世界—亚特兰蒂斯水族馆</w:t>
            </w:r>
            <w:r>
              <w:rPr>
                <w:rFonts w:hint="eastAsia"/>
                <w:b/>
                <w:bCs/>
                <w:color w:val="E60044"/>
                <w:sz w:val="18"/>
                <w:szCs w:val="18"/>
              </w:rPr>
              <w:t xml:space="preserve"> </w:t>
            </w:r>
          </w:p>
          <w:p>
            <w:pPr>
              <w:spacing w:before="62" w:beforeLines="20" w:after="62" w:afterLines="20" w:line="260" w:lineRule="exact"/>
              <w:rPr>
                <w:color w:val="262626" w:themeColor="text1" w:themeTint="D9"/>
                <w:sz w:val="18"/>
                <w:szCs w:val="18"/>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color w:val="262626" w:themeColor="text1" w:themeTint="D9"/>
                <w:sz w:val="18"/>
                <w:szCs w:val="18"/>
                <w14:textFill>
                  <w14:solidFill>
                    <w14:schemeClr w14:val="tx1">
                      <w14:lumMod w14:val="85000"/>
                      <w14:lumOff w14:val="15000"/>
                    </w14:schemeClr>
                  </w14:solidFill>
                </w14:textFill>
              </w:rPr>
              <w:t>全天无限次畅玩，按照国际领先标准建造，拥有目前世界最先进的设备，其滑道总长达到 2510 米，园区占地超过20万平方米，吃喝玩一站式体验，嗨到根本就停不下来！</w:t>
            </w:r>
          </w:p>
          <w:p>
            <w:pPr>
              <w:spacing w:before="62" w:beforeLines="20" w:after="62" w:afterLines="20" w:line="260" w:lineRule="exact"/>
              <w:rPr>
                <w:rFonts w:ascii="宋体" w:hAnsi="宋体" w:eastAsia="宋体" w:cs="宋体"/>
                <w:color w:val="262626" w:themeColor="text1" w:themeTint="D9"/>
                <w:sz w:val="18"/>
                <w:szCs w:val="18"/>
                <w:lang w:val="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馆体营造出失落文明的神秘和大海的空灵，配有迷幻的海底背景音，馆体分为两层，抬眼即可看到超过86,000尾海洋生物在宁静的水中悠游，仿佛进入一个古老神秘的海底世界。</w:t>
            </w:r>
          </w:p>
          <w:p>
            <w:pPr>
              <w:spacing w:before="62" w:beforeLines="20" w:after="62" w:afterLines="20"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769"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60" w:lineRule="exact"/>
              <w:rPr>
                <w:sz w:val="18"/>
                <w:szCs w:val="18"/>
                <w:lang w:val="zh-TW"/>
              </w:rPr>
            </w:pPr>
            <w:r>
              <w:rPr>
                <w:rFonts w:hint="eastAsia"/>
                <w:sz w:val="18"/>
                <w:szCs w:val="18"/>
                <w:lang w:val="zh-TW"/>
              </w:rPr>
              <w:t>自由活动的一天，美丽的海南岛依旧是美好的一天，清新的空气，舒适的海风，碧蓝的天空，慢生活节奏，尽情享受美妙海岛时光！</w:t>
            </w:r>
          </w:p>
          <w:p>
            <w:pPr>
              <w:spacing w:before="62" w:beforeLines="20" w:after="62" w:afterLines="20" w:line="260" w:lineRule="exact"/>
              <w:rPr>
                <w:b/>
                <w:sz w:val="18"/>
                <w:szCs w:val="18"/>
                <w:lang w:val="zh-TW"/>
              </w:rPr>
            </w:pPr>
            <w:r>
              <w:rPr>
                <w:rFonts w:hint="eastAsia"/>
                <w:b/>
                <w:sz w:val="18"/>
                <w:szCs w:val="18"/>
                <w:lang w:val="zh-TW"/>
              </w:rPr>
              <w:t>自由活动·轻奢一日游线路推荐，管家服务预订热线：李晨霞 182 0896 0886</w:t>
            </w:r>
          </w:p>
          <w:p>
            <w:pPr>
              <w:spacing w:before="62" w:beforeLines="20" w:after="62" w:afterLines="20" w:line="260" w:lineRule="exact"/>
              <w:rPr>
                <w:sz w:val="18"/>
                <w:szCs w:val="18"/>
                <w:lang w:val="zh-TW"/>
              </w:rPr>
            </w:pPr>
            <w:r>
              <w:rPr>
                <w:rFonts w:hint="eastAsia"/>
                <w:sz w:val="18"/>
                <w:szCs w:val="18"/>
                <w:lang w:val="zh-TW"/>
              </w:rPr>
              <w:t>一键开启豪华游艇度假模式，出海的感觉只有一个字儿“爽翻天”，人少，景美，极目海天一色，一次满足对夏日的渴望！</w:t>
            </w:r>
          </w:p>
          <w:p>
            <w:pPr>
              <w:spacing w:before="62" w:beforeLines="20" w:after="62" w:afterLines="20" w:line="260" w:lineRule="exact"/>
              <w:rPr>
                <w:b/>
                <w:sz w:val="18"/>
                <w:szCs w:val="18"/>
                <w:lang w:val="zh-TW"/>
              </w:rPr>
            </w:pPr>
            <w:r>
              <w:rPr>
                <w:rFonts w:hint="eastAsia"/>
                <w:b/>
                <w:sz w:val="18"/>
                <w:szCs w:val="18"/>
                <w:lang w:val="zh-TW"/>
              </w:rPr>
              <w:t>线路特色：</w:t>
            </w:r>
          </w:p>
          <w:p>
            <w:pPr>
              <w:spacing w:before="62" w:beforeLines="20" w:after="62" w:afterLines="20" w:line="260" w:lineRule="exact"/>
              <w:rPr>
                <w:sz w:val="18"/>
                <w:szCs w:val="18"/>
                <w:lang w:val="zh-TW"/>
              </w:rPr>
            </w:pPr>
            <w:r>
              <w:rPr>
                <w:rFonts w:hint="eastAsia"/>
                <w:sz w:val="18"/>
                <w:szCs w:val="18"/>
                <w:lang w:val="zh-TW"/>
              </w:rPr>
              <w:t>登上游艇海观美丽的小青州海域，沿途欣赏鹿回头（情山），凤凰岛（东方迪拜）、专业讲解登船前讲解海洋文化知识及游玩活动中的注意事项，海上游艇互动体验包含与不包含，体会海上生活的乐趣。手续齐全，全程保险，放心玩尽兴！</w:t>
            </w:r>
          </w:p>
          <w:p>
            <w:pPr>
              <w:spacing w:before="62" w:beforeLines="20" w:after="62" w:afterLines="20" w:line="260" w:lineRule="exact"/>
              <w:rPr>
                <w:sz w:val="18"/>
                <w:szCs w:val="18"/>
                <w:lang w:val="zh-TW"/>
              </w:rPr>
            </w:pPr>
            <w:r>
              <w:rPr>
                <w:rFonts w:hint="eastAsia"/>
                <w:sz w:val="18"/>
                <w:szCs w:val="18"/>
                <w:lang w:val="zh-TW"/>
              </w:rPr>
              <w:t>奢华游艇包含:</w:t>
            </w:r>
          </w:p>
          <w:p>
            <w:pPr>
              <w:spacing w:before="62" w:beforeLines="20" w:after="62" w:afterLines="20" w:line="260" w:lineRule="exact"/>
              <w:rPr>
                <w:sz w:val="18"/>
                <w:szCs w:val="18"/>
                <w:lang w:val="zh-TW"/>
              </w:rPr>
            </w:pPr>
            <w:r>
              <w:rPr>
                <w:rFonts w:hint="eastAsia"/>
                <w:sz w:val="18"/>
                <w:szCs w:val="18"/>
                <w:lang w:val="zh-TW"/>
              </w:rPr>
              <w:t>均为三层游艇结构、多功能厅，卧室，沙发，洗手间，360度观景平台，船尾沙龙区，冲谈区</w:t>
            </w:r>
          </w:p>
          <w:p>
            <w:pPr>
              <w:spacing w:before="62" w:beforeLines="20" w:after="62" w:afterLines="20" w:line="260" w:lineRule="exact"/>
              <w:rPr>
                <w:b/>
                <w:sz w:val="18"/>
                <w:szCs w:val="18"/>
              </w:rPr>
            </w:pPr>
            <w:r>
              <w:rPr>
                <w:rFonts w:hint="eastAsia"/>
                <w:b/>
                <w:sz w:val="18"/>
                <w:szCs w:val="18"/>
                <w:lang w:val="zh-TW"/>
              </w:rPr>
              <w:t>包含内容：</w:t>
            </w:r>
          </w:p>
          <w:p>
            <w:pPr>
              <w:spacing w:before="62" w:beforeLines="20" w:after="62" w:afterLines="20" w:line="260" w:lineRule="exact"/>
              <w:rPr>
                <w:sz w:val="18"/>
                <w:szCs w:val="18"/>
                <w:lang w:val="zh-TW"/>
              </w:rPr>
            </w:pPr>
            <w:r>
              <w:rPr>
                <w:rFonts w:hint="eastAsia"/>
                <w:sz w:val="18"/>
                <w:szCs w:val="18"/>
                <w:lang w:val="zh-TW"/>
              </w:rPr>
              <w:t>①、私家飞桥游艇出海3小时；</w:t>
            </w:r>
          </w:p>
          <w:p>
            <w:pPr>
              <w:spacing w:before="62" w:beforeLines="20" w:after="62" w:afterLines="20" w:line="260" w:lineRule="exact"/>
              <w:rPr>
                <w:sz w:val="18"/>
                <w:szCs w:val="18"/>
                <w:lang w:val="zh-TW"/>
              </w:rPr>
            </w:pPr>
            <w:r>
              <w:rPr>
                <w:rFonts w:hint="eastAsia"/>
                <w:sz w:val="18"/>
                <w:szCs w:val="18"/>
                <w:lang w:val="zh-TW"/>
              </w:rPr>
              <w:t>②、红酒啤酒、热带时令果盘、欢迎饮料（矿泉水、饮料）、南国特色小吃、咖啡红茶、冰块保温箱；</w:t>
            </w:r>
          </w:p>
          <w:p>
            <w:pPr>
              <w:spacing w:before="62" w:beforeLines="20" w:after="62" w:afterLines="20" w:line="260" w:lineRule="exact"/>
              <w:rPr>
                <w:sz w:val="18"/>
                <w:szCs w:val="18"/>
                <w:lang w:val="zh-TW"/>
              </w:rPr>
            </w:pPr>
            <w:r>
              <w:rPr>
                <w:rFonts w:hint="eastAsia"/>
                <w:sz w:val="18"/>
                <w:szCs w:val="18"/>
                <w:lang w:val="zh-TW"/>
              </w:rPr>
              <w:t>③、海钓鱼竿、鱼饵、下一个姜子牙就是你；</w:t>
            </w:r>
          </w:p>
          <w:p>
            <w:pPr>
              <w:spacing w:before="62" w:beforeLines="20" w:after="62" w:afterLines="20" w:line="260" w:lineRule="exact"/>
              <w:rPr>
                <w:sz w:val="18"/>
                <w:szCs w:val="18"/>
                <w:lang w:val="zh-TW"/>
              </w:rPr>
            </w:pPr>
            <w:r>
              <w:rPr>
                <w:rFonts w:hint="eastAsia"/>
                <w:sz w:val="18"/>
                <w:szCs w:val="18"/>
                <w:lang w:val="zh-TW"/>
              </w:rPr>
              <w:t>④、炫酷海天飞龙真人表演</w:t>
            </w:r>
          </w:p>
          <w:p>
            <w:pPr>
              <w:spacing w:before="62" w:beforeLines="20" w:after="62" w:afterLines="20" w:line="260" w:lineRule="exact"/>
              <w:rPr>
                <w:sz w:val="18"/>
                <w:szCs w:val="18"/>
                <w:lang w:val="zh-TW"/>
              </w:rPr>
            </w:pPr>
            <w:r>
              <w:rPr>
                <w:rFonts w:hint="eastAsia"/>
                <w:sz w:val="18"/>
                <w:szCs w:val="18"/>
                <w:lang w:val="zh-TW"/>
              </w:rPr>
              <w:t>⑤、游艇驾驶摆拍体验 ,让你当一次做船长的感觉；</w:t>
            </w:r>
          </w:p>
          <w:p>
            <w:pPr>
              <w:spacing w:before="62" w:beforeLines="20" w:after="62" w:afterLines="20" w:line="260" w:lineRule="exact"/>
              <w:rPr>
                <w:sz w:val="18"/>
                <w:szCs w:val="18"/>
                <w:lang w:val="zh-TW"/>
              </w:rPr>
            </w:pPr>
            <w:r>
              <w:rPr>
                <w:rFonts w:hint="eastAsia"/>
                <w:sz w:val="18"/>
                <w:szCs w:val="18"/>
                <w:lang w:val="zh-TW"/>
              </w:rPr>
              <w:t>⑥、珊瑚礁潜水包含（面镜、氧气瓶、救生衣、潜水服、教练1对1）需购买咬嘴50元/人，窥视海底秘密；</w:t>
            </w:r>
          </w:p>
          <w:p>
            <w:pPr>
              <w:spacing w:before="62" w:beforeLines="20" w:after="62" w:afterLines="20" w:line="260" w:lineRule="exact"/>
              <w:rPr>
                <w:sz w:val="18"/>
                <w:szCs w:val="18"/>
                <w:lang w:val="zh-TW"/>
              </w:rPr>
            </w:pPr>
            <w:r>
              <w:rPr>
                <w:rFonts w:hint="eastAsia"/>
                <w:sz w:val="18"/>
                <w:szCs w:val="18"/>
                <w:lang w:val="zh-TW"/>
              </w:rPr>
              <w:t>⑦、摩托艇体验可自驾（体验2-3分钟）激情与速度完美展现；</w:t>
            </w:r>
          </w:p>
          <w:p>
            <w:pPr>
              <w:spacing w:before="62" w:beforeLines="20" w:after="62" w:afterLines="20" w:line="260" w:lineRule="exact"/>
              <w:rPr>
                <w:sz w:val="18"/>
                <w:szCs w:val="18"/>
                <w:lang w:val="zh-TW"/>
              </w:rPr>
            </w:pPr>
            <w:r>
              <w:rPr>
                <w:rFonts w:hint="eastAsia"/>
                <w:sz w:val="18"/>
                <w:szCs w:val="18"/>
                <w:lang w:val="zh-TW"/>
              </w:rPr>
              <w:t>⑧、仿航拍动感小视频网红抖音视频15秒，这个视频里的你，美过美颜相机！超大广角、高空视觉效果拍摄出属于你的游艇航海度假视频，拒绝游客拍、拒绝大头拍、视频更能记录真实的你！</w:t>
            </w:r>
          </w:p>
          <w:tbl>
            <w:tblPr>
              <w:tblStyle w:val="7"/>
              <w:tblpPr w:leftFromText="180" w:rightFromText="180" w:vertAnchor="text" w:tblpXSpec="center" w:tblpY="328"/>
              <w:tblOverlap w:val="never"/>
              <w:tblW w:w="589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276"/>
              <w:gridCol w:w="1134"/>
              <w:gridCol w:w="992"/>
              <w:gridCol w:w="1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2" w:hRule="atLeast"/>
                <w:jc w:val="center"/>
              </w:trPr>
              <w:tc>
                <w:tcPr>
                  <w:tcW w:w="1418" w:type="dxa"/>
                  <w:tcBorders>
                    <w:tl2br w:val="nil"/>
                    <w:tr2bl w:val="nil"/>
                  </w:tcBorders>
                  <w:shd w:val="clear" w:color="auto" w:fill="D7D7D7" w:themeFill="background1" w:themeFillShade="D8"/>
                  <w:vAlign w:val="center"/>
                </w:tcPr>
                <w:p>
                  <w:pPr>
                    <w:spacing w:line="360" w:lineRule="auto"/>
                    <w:jc w:val="center"/>
                    <w:rPr>
                      <w:sz w:val="18"/>
                      <w:szCs w:val="18"/>
                      <w:lang w:val="zh-TW"/>
                    </w:rPr>
                  </w:pPr>
                  <w:r>
                    <w:rPr>
                      <w:rFonts w:hint="eastAsia"/>
                      <w:sz w:val="18"/>
                      <w:szCs w:val="18"/>
                      <w:lang w:val="zh-TW"/>
                    </w:rPr>
                    <w:t>登船地点</w:t>
                  </w:r>
                </w:p>
              </w:tc>
              <w:tc>
                <w:tcPr>
                  <w:tcW w:w="1276" w:type="dxa"/>
                  <w:tcBorders>
                    <w:tl2br w:val="nil"/>
                    <w:tr2bl w:val="nil"/>
                  </w:tcBorders>
                  <w:shd w:val="clear" w:color="auto" w:fill="D7D7D7" w:themeFill="background1" w:themeFillShade="D8"/>
                  <w:vAlign w:val="center"/>
                </w:tcPr>
                <w:p>
                  <w:pPr>
                    <w:spacing w:line="360" w:lineRule="auto"/>
                    <w:jc w:val="center"/>
                    <w:rPr>
                      <w:sz w:val="18"/>
                      <w:szCs w:val="18"/>
                      <w:lang w:val="zh-TW"/>
                    </w:rPr>
                  </w:pPr>
                  <w:r>
                    <w:rPr>
                      <w:rFonts w:hint="eastAsia"/>
                      <w:sz w:val="18"/>
                      <w:szCs w:val="18"/>
                      <w:lang w:val="zh-TW"/>
                    </w:rPr>
                    <w:t>活动区域</w:t>
                  </w:r>
                </w:p>
              </w:tc>
              <w:tc>
                <w:tcPr>
                  <w:tcW w:w="1134" w:type="dxa"/>
                  <w:tcBorders>
                    <w:tl2br w:val="nil"/>
                    <w:tr2bl w:val="nil"/>
                  </w:tcBorders>
                  <w:shd w:val="clear" w:color="auto" w:fill="D7D7D7" w:themeFill="background1" w:themeFillShade="D8"/>
                  <w:vAlign w:val="center"/>
                </w:tcPr>
                <w:p>
                  <w:pPr>
                    <w:spacing w:line="360" w:lineRule="auto"/>
                    <w:jc w:val="center"/>
                    <w:rPr>
                      <w:sz w:val="18"/>
                      <w:szCs w:val="18"/>
                      <w:lang w:val="zh-TW"/>
                    </w:rPr>
                  </w:pPr>
                  <w:r>
                    <w:rPr>
                      <w:rFonts w:hint="eastAsia"/>
                      <w:sz w:val="18"/>
                      <w:szCs w:val="18"/>
                      <w:lang w:val="zh-TW"/>
                    </w:rPr>
                    <w:t>班次</w:t>
                  </w:r>
                </w:p>
              </w:tc>
              <w:tc>
                <w:tcPr>
                  <w:tcW w:w="992" w:type="dxa"/>
                  <w:tcBorders>
                    <w:tl2br w:val="nil"/>
                    <w:tr2bl w:val="nil"/>
                  </w:tcBorders>
                  <w:shd w:val="clear" w:color="auto" w:fill="D7D7D7" w:themeFill="background1" w:themeFillShade="D8"/>
                  <w:vAlign w:val="center"/>
                </w:tcPr>
                <w:p>
                  <w:pPr>
                    <w:spacing w:line="360" w:lineRule="auto"/>
                    <w:jc w:val="center"/>
                    <w:rPr>
                      <w:sz w:val="18"/>
                      <w:szCs w:val="18"/>
                      <w:lang w:val="zh-TW"/>
                    </w:rPr>
                  </w:pPr>
                  <w:r>
                    <w:rPr>
                      <w:rFonts w:hint="eastAsia"/>
                      <w:sz w:val="18"/>
                      <w:szCs w:val="18"/>
                      <w:lang w:val="zh-TW"/>
                    </w:rPr>
                    <w:t>出海时长</w:t>
                  </w:r>
                </w:p>
              </w:tc>
              <w:tc>
                <w:tcPr>
                  <w:tcW w:w="1077" w:type="dxa"/>
                  <w:tcBorders>
                    <w:tl2br w:val="nil"/>
                    <w:tr2bl w:val="nil"/>
                  </w:tcBorders>
                  <w:shd w:val="clear" w:color="auto" w:fill="D7D7D7" w:themeFill="background1" w:themeFillShade="D8"/>
                  <w:vAlign w:val="center"/>
                </w:tcPr>
                <w:p>
                  <w:pPr>
                    <w:spacing w:line="360" w:lineRule="auto"/>
                    <w:rPr>
                      <w:sz w:val="18"/>
                      <w:szCs w:val="18"/>
                      <w:lang w:val="zh-TW"/>
                    </w:rPr>
                  </w:pPr>
                  <w:r>
                    <w:rPr>
                      <w:rFonts w:hint="eastAsia"/>
                      <w:sz w:val="18"/>
                      <w:szCs w:val="18"/>
                      <w:lang w:val="zh-TW"/>
                    </w:rPr>
                    <w:t>人员配备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85" w:hRule="atLeast"/>
                <w:jc w:val="center"/>
              </w:trPr>
              <w:tc>
                <w:tcPr>
                  <w:tcW w:w="1418" w:type="dxa"/>
                  <w:tcBorders>
                    <w:tl2br w:val="nil"/>
                    <w:tr2bl w:val="nil"/>
                  </w:tcBorders>
                  <w:vAlign w:val="center"/>
                </w:tcPr>
                <w:p>
                  <w:pPr>
                    <w:spacing w:line="360" w:lineRule="auto"/>
                    <w:jc w:val="center"/>
                    <w:rPr>
                      <w:sz w:val="18"/>
                      <w:szCs w:val="18"/>
                      <w:lang w:val="zh-TW"/>
                    </w:rPr>
                  </w:pPr>
                  <w:r>
                    <w:rPr>
                      <w:rFonts w:hint="eastAsia"/>
                      <w:sz w:val="18"/>
                      <w:szCs w:val="18"/>
                      <w:lang w:val="zh-TW"/>
                    </w:rPr>
                    <w:t>三亚鹿回头游艇公共码头</w:t>
                  </w:r>
                </w:p>
              </w:tc>
              <w:tc>
                <w:tcPr>
                  <w:tcW w:w="1276" w:type="dxa"/>
                  <w:tcBorders>
                    <w:tl2br w:val="nil"/>
                    <w:tr2bl w:val="nil"/>
                  </w:tcBorders>
                  <w:vAlign w:val="center"/>
                </w:tcPr>
                <w:p>
                  <w:pPr>
                    <w:spacing w:line="360" w:lineRule="auto"/>
                    <w:jc w:val="center"/>
                    <w:rPr>
                      <w:sz w:val="18"/>
                      <w:szCs w:val="18"/>
                      <w:lang w:val="zh-TW"/>
                    </w:rPr>
                  </w:pPr>
                  <w:r>
                    <w:rPr>
                      <w:rFonts w:hint="eastAsia"/>
                      <w:sz w:val="18"/>
                      <w:szCs w:val="18"/>
                      <w:lang w:val="zh-TW"/>
                    </w:rPr>
                    <w:t>三亚·三亚角</w:t>
                  </w:r>
                </w:p>
              </w:tc>
              <w:tc>
                <w:tcPr>
                  <w:tcW w:w="1134" w:type="dxa"/>
                  <w:tcBorders>
                    <w:tl2br w:val="nil"/>
                    <w:tr2bl w:val="nil"/>
                  </w:tcBorders>
                  <w:vAlign w:val="center"/>
                </w:tcPr>
                <w:p>
                  <w:pPr>
                    <w:spacing w:line="360" w:lineRule="auto"/>
                    <w:jc w:val="center"/>
                    <w:rPr>
                      <w:sz w:val="18"/>
                      <w:szCs w:val="18"/>
                      <w:lang w:val="zh-TW"/>
                    </w:rPr>
                  </w:pPr>
                  <w:r>
                    <w:rPr>
                      <w:rFonts w:hint="eastAsia"/>
                      <w:sz w:val="18"/>
                      <w:szCs w:val="18"/>
                      <w:lang w:val="zh-TW"/>
                    </w:rPr>
                    <w:t>9:00-12:00  15:00-18:00</w:t>
                  </w:r>
                </w:p>
              </w:tc>
              <w:tc>
                <w:tcPr>
                  <w:tcW w:w="992" w:type="dxa"/>
                  <w:tcBorders>
                    <w:tl2br w:val="nil"/>
                    <w:tr2bl w:val="nil"/>
                  </w:tcBorders>
                  <w:vAlign w:val="center"/>
                </w:tcPr>
                <w:p>
                  <w:pPr>
                    <w:spacing w:line="360" w:lineRule="auto"/>
                    <w:jc w:val="center"/>
                    <w:rPr>
                      <w:sz w:val="18"/>
                      <w:szCs w:val="18"/>
                      <w:lang w:val="zh-TW"/>
                    </w:rPr>
                  </w:pPr>
                  <w:r>
                    <w:rPr>
                      <w:rFonts w:hint="eastAsia"/>
                      <w:sz w:val="18"/>
                      <w:szCs w:val="18"/>
                      <w:lang w:val="zh-TW"/>
                    </w:rPr>
                    <w:t>180分钟</w:t>
                  </w:r>
                </w:p>
              </w:tc>
              <w:tc>
                <w:tcPr>
                  <w:tcW w:w="1077" w:type="dxa"/>
                  <w:tcBorders>
                    <w:tl2br w:val="nil"/>
                    <w:tr2bl w:val="nil"/>
                  </w:tcBorders>
                  <w:vAlign w:val="center"/>
                </w:tcPr>
                <w:p>
                  <w:pPr>
                    <w:spacing w:line="360" w:lineRule="auto"/>
                    <w:rPr>
                      <w:sz w:val="18"/>
                      <w:szCs w:val="18"/>
                      <w:lang w:val="zh-TW"/>
                    </w:rPr>
                  </w:pPr>
                  <w:r>
                    <w:rPr>
                      <w:rFonts w:hint="eastAsia"/>
                      <w:sz w:val="18"/>
                      <w:szCs w:val="18"/>
                      <w:lang w:val="zh-TW"/>
                    </w:rPr>
                    <w:t>1船长</w:t>
                  </w:r>
                </w:p>
                <w:p>
                  <w:pPr>
                    <w:spacing w:line="360" w:lineRule="auto"/>
                    <w:rPr>
                      <w:sz w:val="18"/>
                      <w:szCs w:val="18"/>
                      <w:lang w:val="zh-TW"/>
                    </w:rPr>
                  </w:pPr>
                  <w:r>
                    <w:rPr>
                      <w:rFonts w:hint="eastAsia"/>
                      <w:sz w:val="18"/>
                      <w:szCs w:val="18"/>
                      <w:lang w:val="zh-TW"/>
                    </w:rPr>
                    <w:t>1水手</w:t>
                  </w:r>
                </w:p>
              </w:tc>
            </w:tr>
          </w:tbl>
          <w:p>
            <w:pPr>
              <w:spacing w:before="62" w:beforeLines="20" w:after="62" w:afterLines="20" w:line="260" w:lineRule="exact"/>
              <w:rPr>
                <w:color w:val="C00000"/>
                <w:sz w:val="18"/>
                <w:szCs w:val="18"/>
                <w:lang w:val="zh-TW"/>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line="260" w:lineRule="exact"/>
              <w:rPr>
                <w:color w:val="C00000"/>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1171" w:hRule="atLeast"/>
          <w:jc w:val="center"/>
        </w:trPr>
        <w:tc>
          <w:tcPr>
            <w:tcW w:w="1863"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spacing w:before="62" w:beforeLines="20" w:after="62" w:afterLines="20" w:line="260" w:lineRule="exact"/>
              <w:rPr>
                <w:sz w:val="18"/>
                <w:szCs w:val="18"/>
                <w:lang w:val="zh-TW"/>
              </w:rPr>
            </w:pPr>
            <w:r>
              <w:rPr>
                <w:rFonts w:hint="eastAsia"/>
                <w:sz w:val="18"/>
                <w:szCs w:val="18"/>
                <w:lang w:val="zh-TW"/>
              </w:rPr>
              <w:t>专人送机，乘机返回温馨家园（酒店退房时间为中午12点前）。</w:t>
            </w:r>
          </w:p>
          <w:p>
            <w:pPr>
              <w:spacing w:before="62" w:beforeLines="20" w:after="62" w:afterLines="20" w:line="260" w:lineRule="exact"/>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spacing w:before="62" w:beforeLines="20" w:after="62" w:afterLines="20" w:line="260" w:lineRule="exact"/>
              <w:rPr>
                <w:sz w:val="18"/>
                <w:szCs w:val="18"/>
                <w:lang w:val="zh-TW"/>
              </w:rPr>
            </w:pPr>
          </w:p>
          <w:p>
            <w:pPr>
              <w:spacing w:before="62" w:beforeLines="20" w:after="62" w:afterLines="20" w:line="26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tbl>
      <w:tblPr>
        <w:tblStyle w:val="6"/>
        <w:tblW w:w="11225" w:type="dxa"/>
        <w:jc w:val="center"/>
        <w:tblInd w:w="0" w:type="dxa"/>
        <w:tblLayout w:type="fixed"/>
        <w:tblCellMar>
          <w:top w:w="113" w:type="dxa"/>
          <w:left w:w="57" w:type="dxa"/>
          <w:bottom w:w="113" w:type="dxa"/>
          <w:right w:w="57" w:type="dxa"/>
        </w:tblCellMar>
      </w:tblPr>
      <w:tblGrid>
        <w:gridCol w:w="11225"/>
      </w:tblGrid>
      <w:tr>
        <w:tblPrEx>
          <w:tblLayout w:type="fixed"/>
          <w:tblCellMar>
            <w:top w:w="113" w:type="dxa"/>
            <w:left w:w="57" w:type="dxa"/>
            <w:bottom w:w="113" w:type="dxa"/>
            <w:right w:w="57" w:type="dxa"/>
          </w:tblCellMar>
        </w:tblPrEx>
        <w:trPr>
          <w:trHeight w:val="90" w:hRule="atLeast"/>
          <w:jc w:val="center"/>
        </w:trPr>
        <w:tc>
          <w:tcPr>
            <w:tcW w:w="11225" w:type="dxa"/>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912" w:hRule="atLeast"/>
          <w:jc w:val="center"/>
        </w:trPr>
        <w:tc>
          <w:tcPr>
            <w:tcW w:w="11225" w:type="dxa"/>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w:t>
            </w:r>
            <w:r>
              <w:rPr>
                <w:rFonts w:hint="eastAsia" w:ascii="宋体" w:hAnsi="宋体" w:eastAsia="宋体"/>
                <w:sz w:val="18"/>
                <w:szCs w:val="18"/>
              </w:rPr>
              <w:t>一线海边</w:t>
            </w:r>
            <w:r>
              <w:rPr>
                <w:rFonts w:hint="eastAsia" w:ascii="宋体" w:hAnsi="宋体"/>
                <w:sz w:val="18"/>
                <w:szCs w:val="18"/>
              </w:rPr>
              <w:t>酒店海景大床房，1晚升级水中奇迹·亚特兰蒂斯海景房</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2</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18"/>
                <w:szCs w:val="18"/>
              </w:rPr>
              <w:t xml:space="preserve">升级 </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“蟹鲍海鲜餐1份/人”、</w:t>
            </w:r>
            <w:r>
              <w:rPr>
                <w:rFonts w:hint="eastAsia" w:ascii="宋体" w:hAnsi="宋体"/>
                <w:sz w:val="18"/>
                <w:szCs w:val="18"/>
              </w:rPr>
              <w:t>“波隆野菜自助餐”各1次；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bl>
    <w:p>
      <w:r>
        <w:br w:type="page"/>
      </w:r>
    </w:p>
    <w:tbl>
      <w:tblPr>
        <w:tblStyle w:val="6"/>
        <w:tblW w:w="11225" w:type="dxa"/>
        <w:jc w:val="center"/>
        <w:tblInd w:w="0" w:type="dxa"/>
        <w:tblLayout w:type="fixed"/>
        <w:tblCellMar>
          <w:top w:w="113" w:type="dxa"/>
          <w:left w:w="57" w:type="dxa"/>
          <w:bottom w:w="113" w:type="dxa"/>
          <w:right w:w="57" w:type="dxa"/>
        </w:tblCellMar>
      </w:tblPr>
      <w:tblGrid>
        <w:gridCol w:w="1188"/>
        <w:gridCol w:w="501"/>
        <w:gridCol w:w="9536"/>
      </w:tblGrid>
      <w:tr>
        <w:tblPrEx>
          <w:tblLayout w:type="fixed"/>
          <w:tblCellMar>
            <w:top w:w="113" w:type="dxa"/>
            <w:left w:w="57" w:type="dxa"/>
            <w:bottom w:w="113" w:type="dxa"/>
            <w:right w:w="57" w:type="dxa"/>
          </w:tblCellMar>
        </w:tblPrEx>
        <w:trPr>
          <w:trHeight w:val="90" w:hRule="atLeast"/>
          <w:jc w:val="center"/>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90" w:hRule="atLeast"/>
          <w:jc w:val="center"/>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90"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洛克铂金，京海假日，希尔顿花园酒店，大东海酒店、海韵、三亚湾假日</w:t>
            </w:r>
          </w:p>
        </w:tc>
      </w:tr>
      <w:tr>
        <w:tblPrEx>
          <w:tblLayout w:type="fixed"/>
          <w:tblCellMar>
            <w:top w:w="113" w:type="dxa"/>
            <w:left w:w="57" w:type="dxa"/>
            <w:bottom w:w="113" w:type="dxa"/>
            <w:right w:w="57" w:type="dxa"/>
          </w:tblCellMar>
        </w:tblPrEx>
        <w:trPr>
          <w:trHeight w:val="90"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亚特兰蒂斯海景房、海棠湾红树林</w:t>
            </w:r>
          </w:p>
        </w:tc>
      </w:tr>
      <w:tr>
        <w:tblPrEx>
          <w:tblLayout w:type="fixed"/>
          <w:tblCellMar>
            <w:top w:w="113" w:type="dxa"/>
            <w:left w:w="57" w:type="dxa"/>
            <w:bottom w:w="113" w:type="dxa"/>
            <w:right w:w="57" w:type="dxa"/>
          </w:tblCellMar>
        </w:tblPrEx>
        <w:trPr>
          <w:trHeight w:val="90" w:hRule="atLeast"/>
          <w:jc w:val="center"/>
        </w:trPr>
        <w:tc>
          <w:tcPr>
            <w:tcW w:w="11225" w:type="dxa"/>
            <w:gridSpan w:val="3"/>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465" w:hRule="atLeast"/>
          <w:jc w:val="center"/>
        </w:trPr>
        <w:tc>
          <w:tcPr>
            <w:tcW w:w="11225" w:type="dxa"/>
            <w:gridSpan w:val="3"/>
            <w:tcBorders>
              <w:bottom w:val="single" w:color="E60044" w:sz="4" w:space="0"/>
            </w:tcBorders>
            <w:shd w:val="clear" w:color="auto" w:fill="auto"/>
            <w:vAlign w:val="center"/>
          </w:tcPr>
          <w:p>
            <w:pPr>
              <w:jc w:val="center"/>
              <w:rPr>
                <w:color w:val="E60044"/>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863" w:hRule="atLeast"/>
          <w:jc w:val="center"/>
        </w:trPr>
        <w:tc>
          <w:tcPr>
            <w:tcW w:w="1188" w:type="dxa"/>
            <w:tcBorders>
              <w:top w:val="single" w:color="E60044" w:sz="4" w:space="0"/>
              <w:left w:val="single" w:color="FFFFFF" w:sz="4" w:space="0"/>
              <w:bottom w:val="single" w:color="E60044"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波隆野菜自助</w:t>
            </w:r>
          </w:p>
        </w:tc>
        <w:tc>
          <w:tcPr>
            <w:tcW w:w="10037" w:type="dxa"/>
            <w:gridSpan w:val="2"/>
            <w:tcBorders>
              <w:top w:val="single" w:color="E60044" w:sz="4" w:space="0"/>
              <w:left w:val="single" w:color="FFFFFF" w:sz="4" w:space="0"/>
              <w:bottom w:val="single" w:color="E60044" w:sz="4" w:space="0"/>
              <w:right w:val="single" w:color="FFFFFF" w:sz="4" w:space="0"/>
            </w:tcBorders>
            <w:shd w:val="clear" w:color="auto" w:fill="E7E6E6" w:themeFill="background2"/>
            <w:vAlign w:val="center"/>
          </w:tcPr>
          <w:p>
            <w:pPr>
              <w:jc w:val="left"/>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sz w:val="18"/>
                <w:szCs w:val="18"/>
              </w:rPr>
              <w:t>凉菜类：海鲜卷、金针菇拌青瓜、糖拌西红柿、黎家萝卜干、凉拌野菜、洋葱拌木耳、凉拌海带丝；热菜类：白切槟榔鸡、腐竹焖鸭块、豆酱蒸河鲜、脆皮木瓜酥、爽口水立方、蒌叶煎土鸡蛋、清蒸南瓜、炒时蔬、野菜煎五花肉、黎家豆腐、烧汁爽肉、木瓜炒韭菜、海白煮萝卜丝；汤类：野生山菌老鸡汤、槟榔花冬瓜老鸭汤、猪肺汤；主食类：腌海南粉、绿豆糕甜品、地瓜粥、野菜炒饭、老面馒头、野菜瘦肉粥、蛋糕、香蒸菜包；田园沙律：紫椰子菜、红萝卜、洋葱、青瓜、圣女果、西生菜、大葱、玉米、红腰果。</w:t>
            </w:r>
          </w:p>
        </w:tc>
      </w:tr>
      <w:tr>
        <w:tblPrEx>
          <w:tblLayout w:type="fixed"/>
          <w:tblCellMar>
            <w:top w:w="113" w:type="dxa"/>
            <w:left w:w="57" w:type="dxa"/>
            <w:bottom w:w="113" w:type="dxa"/>
            <w:right w:w="57" w:type="dxa"/>
          </w:tblCellMar>
        </w:tblPrEx>
        <w:trPr>
          <w:trHeight w:val="38"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Spec="center" w:tblpY="93"/>
        <w:tblOverlap w:val="never"/>
        <w:tblW w:w="11225" w:type="dxa"/>
        <w:jc w:val="center"/>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90" w:hRule="atLeast"/>
          <w:jc w:val="center"/>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bl>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3、</w:t>
      </w:r>
      <w:r>
        <w:rPr>
          <w:rFonts w:hint="eastAsia" w:asciiTheme="minorEastAsia" w:hAnsiTheme="minorEastAsia" w:cstheme="minorEastAsia"/>
          <w:sz w:val="18"/>
          <w:szCs w:val="21"/>
        </w:rPr>
        <w:t>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2000元/人。</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12、“0自费”解释：我社郑重承诺本线路全程不推荐任何自费景点及夜间娱乐项目，但不适用于游客自行自愿所选择的：海上自愿娱乐项目、景区内交通工具及特色演出（</w:t>
      </w:r>
      <w:r>
        <w:rPr>
          <w:rFonts w:hint="eastAsia" w:asciiTheme="minorEastAsia" w:hAnsiTheme="minorEastAsia" w:cstheme="minorEastAsia"/>
          <w:sz w:val="18"/>
          <w:szCs w:val="21"/>
        </w:rPr>
        <w:t>千古情演出300元/人，槟榔古韵演出175元/人</w:t>
      </w:r>
      <w:r>
        <w:rPr>
          <w:rFonts w:hint="eastAsia"/>
          <w:color w:val="262626" w:themeColor="text1" w:themeTint="D9"/>
          <w:sz w:val="18"/>
          <w:szCs w:val="18"/>
          <w14:textFill>
            <w14:solidFill>
              <w14:schemeClr w14:val="tx1">
                <w14:lumMod w14:val="85000"/>
                <w14:lumOff w14:val="15000"/>
              </w14:schemeClr>
            </w14:solidFill>
          </w14:textFill>
        </w:rPr>
        <w:t>，实际价格请以运营商公布为准）。“0购物”解释：我社郑重承诺本线路全程绝不包含及另行增加任何官方或非官方购物店，游客如有购物需求，敬请自行前往；不适用于游客自行自愿所选择的：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rPr>
          <w:b/>
          <w:color w:val="262626" w:themeColor="text1" w:themeTint="D9"/>
          <w:sz w:val="18"/>
          <w:szCs w:val="18"/>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p>
      <w:pPr>
        <w:rPr>
          <w:b/>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77DA"/>
    <w:rsid w:val="0001212C"/>
    <w:rsid w:val="00012827"/>
    <w:rsid w:val="00014189"/>
    <w:rsid w:val="00061352"/>
    <w:rsid w:val="000C053C"/>
    <w:rsid w:val="000C248C"/>
    <w:rsid w:val="000D3503"/>
    <w:rsid w:val="000F4A9E"/>
    <w:rsid w:val="00124F3A"/>
    <w:rsid w:val="001A5209"/>
    <w:rsid w:val="00246C66"/>
    <w:rsid w:val="00277009"/>
    <w:rsid w:val="002950DF"/>
    <w:rsid w:val="002A5948"/>
    <w:rsid w:val="002C52BB"/>
    <w:rsid w:val="002C6D97"/>
    <w:rsid w:val="002D2E29"/>
    <w:rsid w:val="002F7A38"/>
    <w:rsid w:val="00323AEB"/>
    <w:rsid w:val="00324C8A"/>
    <w:rsid w:val="003262BC"/>
    <w:rsid w:val="00372BD0"/>
    <w:rsid w:val="003C65C0"/>
    <w:rsid w:val="003D1EAF"/>
    <w:rsid w:val="003E5D00"/>
    <w:rsid w:val="0041061F"/>
    <w:rsid w:val="004359A1"/>
    <w:rsid w:val="004362FC"/>
    <w:rsid w:val="00473CE0"/>
    <w:rsid w:val="0048181A"/>
    <w:rsid w:val="00483E92"/>
    <w:rsid w:val="004B0874"/>
    <w:rsid w:val="004C03AB"/>
    <w:rsid w:val="004E0457"/>
    <w:rsid w:val="004F6A01"/>
    <w:rsid w:val="00501410"/>
    <w:rsid w:val="00504132"/>
    <w:rsid w:val="00554984"/>
    <w:rsid w:val="005632FF"/>
    <w:rsid w:val="005805A8"/>
    <w:rsid w:val="005F453E"/>
    <w:rsid w:val="00604028"/>
    <w:rsid w:val="00607267"/>
    <w:rsid w:val="00615F52"/>
    <w:rsid w:val="00616EC2"/>
    <w:rsid w:val="00622C06"/>
    <w:rsid w:val="006259AB"/>
    <w:rsid w:val="00661CE0"/>
    <w:rsid w:val="00687D0E"/>
    <w:rsid w:val="006D23D6"/>
    <w:rsid w:val="00730CBC"/>
    <w:rsid w:val="00736A2F"/>
    <w:rsid w:val="00753305"/>
    <w:rsid w:val="007605D7"/>
    <w:rsid w:val="00780BF5"/>
    <w:rsid w:val="007B71F7"/>
    <w:rsid w:val="007F3433"/>
    <w:rsid w:val="00810E01"/>
    <w:rsid w:val="00882164"/>
    <w:rsid w:val="008C2FE6"/>
    <w:rsid w:val="00984B67"/>
    <w:rsid w:val="009861CB"/>
    <w:rsid w:val="009A23E0"/>
    <w:rsid w:val="009C2C70"/>
    <w:rsid w:val="00A15AE5"/>
    <w:rsid w:val="00A21588"/>
    <w:rsid w:val="00A27C68"/>
    <w:rsid w:val="00A6660F"/>
    <w:rsid w:val="00A666A1"/>
    <w:rsid w:val="00AC6C57"/>
    <w:rsid w:val="00AF1059"/>
    <w:rsid w:val="00AF7714"/>
    <w:rsid w:val="00B30C1E"/>
    <w:rsid w:val="00B55630"/>
    <w:rsid w:val="00B97211"/>
    <w:rsid w:val="00BD4584"/>
    <w:rsid w:val="00BF0D67"/>
    <w:rsid w:val="00C24052"/>
    <w:rsid w:val="00C26483"/>
    <w:rsid w:val="00C70D1A"/>
    <w:rsid w:val="00C835FC"/>
    <w:rsid w:val="00CE7D4F"/>
    <w:rsid w:val="00D02D09"/>
    <w:rsid w:val="00D17E7B"/>
    <w:rsid w:val="00D35B14"/>
    <w:rsid w:val="00D670AF"/>
    <w:rsid w:val="00DA28CA"/>
    <w:rsid w:val="00DA6D54"/>
    <w:rsid w:val="00DB2386"/>
    <w:rsid w:val="00DD3495"/>
    <w:rsid w:val="00DE68B6"/>
    <w:rsid w:val="00DF0CD7"/>
    <w:rsid w:val="00DF5895"/>
    <w:rsid w:val="00E16440"/>
    <w:rsid w:val="00E42AFC"/>
    <w:rsid w:val="00E51115"/>
    <w:rsid w:val="00E627C6"/>
    <w:rsid w:val="00E8506C"/>
    <w:rsid w:val="00EA454A"/>
    <w:rsid w:val="00EB1529"/>
    <w:rsid w:val="00EB18E5"/>
    <w:rsid w:val="00ED2584"/>
    <w:rsid w:val="00F06DE7"/>
    <w:rsid w:val="00F10CB4"/>
    <w:rsid w:val="00F10DA2"/>
    <w:rsid w:val="00F2546A"/>
    <w:rsid w:val="00F42E12"/>
    <w:rsid w:val="00F579EB"/>
    <w:rsid w:val="00F65ACE"/>
    <w:rsid w:val="00F96812"/>
    <w:rsid w:val="00FB0643"/>
    <w:rsid w:val="00FC0C7B"/>
    <w:rsid w:val="00FD0FCF"/>
    <w:rsid w:val="01786AC3"/>
    <w:rsid w:val="02E8169C"/>
    <w:rsid w:val="04BA0B39"/>
    <w:rsid w:val="05EA05B9"/>
    <w:rsid w:val="060B3707"/>
    <w:rsid w:val="07EB79D6"/>
    <w:rsid w:val="09956601"/>
    <w:rsid w:val="0A9A769D"/>
    <w:rsid w:val="0B5E54F8"/>
    <w:rsid w:val="0B952A4F"/>
    <w:rsid w:val="0BA115A6"/>
    <w:rsid w:val="0C3231B9"/>
    <w:rsid w:val="0D6367E4"/>
    <w:rsid w:val="0D9A0D34"/>
    <w:rsid w:val="147A5E7C"/>
    <w:rsid w:val="14DD2A45"/>
    <w:rsid w:val="150A19EE"/>
    <w:rsid w:val="1698178C"/>
    <w:rsid w:val="176554E0"/>
    <w:rsid w:val="17784F52"/>
    <w:rsid w:val="17C82FF6"/>
    <w:rsid w:val="1C627327"/>
    <w:rsid w:val="1CAD3829"/>
    <w:rsid w:val="1CB00CB6"/>
    <w:rsid w:val="221456E5"/>
    <w:rsid w:val="22574434"/>
    <w:rsid w:val="2436699F"/>
    <w:rsid w:val="24A52FCA"/>
    <w:rsid w:val="258955DB"/>
    <w:rsid w:val="26090AB9"/>
    <w:rsid w:val="28646E3C"/>
    <w:rsid w:val="2B4262A0"/>
    <w:rsid w:val="2B430BAE"/>
    <w:rsid w:val="2BE222CE"/>
    <w:rsid w:val="2D0D48B7"/>
    <w:rsid w:val="2E1A5879"/>
    <w:rsid w:val="2E821B2F"/>
    <w:rsid w:val="2F757767"/>
    <w:rsid w:val="30DB5145"/>
    <w:rsid w:val="31015BBD"/>
    <w:rsid w:val="327971CA"/>
    <w:rsid w:val="33955846"/>
    <w:rsid w:val="36AC0A71"/>
    <w:rsid w:val="39B73441"/>
    <w:rsid w:val="39E40528"/>
    <w:rsid w:val="3A182D3F"/>
    <w:rsid w:val="3A6401D0"/>
    <w:rsid w:val="3B604E2B"/>
    <w:rsid w:val="3E3F147E"/>
    <w:rsid w:val="3F3859B0"/>
    <w:rsid w:val="42904688"/>
    <w:rsid w:val="44AC71E3"/>
    <w:rsid w:val="455005EE"/>
    <w:rsid w:val="459D00E8"/>
    <w:rsid w:val="48F52BEA"/>
    <w:rsid w:val="4D0C0565"/>
    <w:rsid w:val="4ECC72E7"/>
    <w:rsid w:val="4FE736A1"/>
    <w:rsid w:val="511D4FF2"/>
    <w:rsid w:val="52236754"/>
    <w:rsid w:val="5296195A"/>
    <w:rsid w:val="52995B73"/>
    <w:rsid w:val="55A47791"/>
    <w:rsid w:val="58451BBE"/>
    <w:rsid w:val="5CF4716A"/>
    <w:rsid w:val="5D1B22F7"/>
    <w:rsid w:val="5F3A6534"/>
    <w:rsid w:val="5FF434A9"/>
    <w:rsid w:val="60AB3B68"/>
    <w:rsid w:val="61A902A4"/>
    <w:rsid w:val="62101728"/>
    <w:rsid w:val="64BD2ACA"/>
    <w:rsid w:val="672E1A3D"/>
    <w:rsid w:val="690C064F"/>
    <w:rsid w:val="6A8953B0"/>
    <w:rsid w:val="6D301E87"/>
    <w:rsid w:val="6F6E2C29"/>
    <w:rsid w:val="6FFC6A05"/>
    <w:rsid w:val="701E7300"/>
    <w:rsid w:val="72F41EA4"/>
    <w:rsid w:val="738E2FE7"/>
    <w:rsid w:val="73BA3206"/>
    <w:rsid w:val="740C1D6B"/>
    <w:rsid w:val="751D2A0A"/>
    <w:rsid w:val="76865A7E"/>
    <w:rsid w:val="778B1DFE"/>
    <w:rsid w:val="77E008E4"/>
    <w:rsid w:val="79911EF2"/>
    <w:rsid w:val="7C100E4F"/>
    <w:rsid w:val="7CEA17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table" w:styleId="7">
    <w:name w:val="Table Grid"/>
    <w:basedOn w:val="6"/>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5259</Words>
  <Characters>361</Characters>
  <Lines>3</Lines>
  <Paragraphs>11</Paragraphs>
  <TotalTime>0</TotalTime>
  <ScaleCrop>false</ScaleCrop>
  <LinksUpToDate>false</LinksUpToDate>
  <CharactersWithSpaces>5609</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2019-08-14T07:35:26Z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