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670528" behindDoc="1" locked="0" layoutInCell="1" allowOverlap="1">
            <wp:simplePos x="0" y="0"/>
            <wp:positionH relativeFrom="column">
              <wp:posOffset>-228600</wp:posOffset>
            </wp:positionH>
            <wp:positionV relativeFrom="paragraph">
              <wp:posOffset>-205740</wp:posOffset>
            </wp:positionV>
            <wp:extent cx="7571740" cy="10709275"/>
            <wp:effectExtent l="0" t="0" r="10160" b="15875"/>
            <wp:wrapNone/>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6"/>
                    <a:stretch>
                      <a:fillRect/>
                    </a:stretch>
                  </pic:blipFill>
                  <pic:spPr>
                    <a:xfrm>
                      <a:off x="0" y="0"/>
                      <a:ext cx="7571740" cy="10709275"/>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-26035</wp:posOffset>
            </wp:positionH>
            <wp:positionV relativeFrom="paragraph">
              <wp:posOffset>-7748270</wp:posOffset>
            </wp:positionV>
            <wp:extent cx="574675" cy="343535"/>
            <wp:effectExtent l="0" t="0" r="0" b="0"/>
            <wp:wrapNone/>
            <wp:docPr id="8" name="图片 8"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等待标志"/>
                    <pic:cNvPicPr>
                      <a:picLocks noChangeAspect="1"/>
                    </pic:cNvPicPr>
                  </pic:nvPicPr>
                  <pic:blipFill>
                    <a:blip r:embed="rId7"/>
                    <a:stretch>
                      <a:fillRect/>
                    </a:stretch>
                  </pic:blipFill>
                  <pic:spPr>
                    <a:xfrm>
                      <a:off x="0" y="0"/>
                      <a:ext cx="574675" cy="343535"/>
                    </a:xfrm>
                    <a:prstGeom prst="rect">
                      <a:avLst/>
                    </a:prstGeom>
                  </pic:spPr>
                </pic:pic>
              </a:graphicData>
            </a:graphic>
          </wp:anchor>
        </w:drawing>
      </w:r>
    </w:p>
    <w:p>
      <w:r>
        <w:drawing>
          <wp:anchor distT="0" distB="0" distL="114300" distR="114300" simplePos="0" relativeHeight="251662336" behindDoc="0" locked="0" layoutInCell="1" allowOverlap="1">
            <wp:simplePos x="0" y="0"/>
            <wp:positionH relativeFrom="column">
              <wp:posOffset>-197485</wp:posOffset>
            </wp:positionH>
            <wp:positionV relativeFrom="paragraph">
              <wp:posOffset>-210820</wp:posOffset>
            </wp:positionV>
            <wp:extent cx="7551420" cy="10681970"/>
            <wp:effectExtent l="0" t="0" r="0"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10681970"/>
                    </a:xfrm>
                    <a:prstGeom prst="rect">
                      <a:avLst/>
                    </a:prstGeom>
                  </pic:spPr>
                </pic:pic>
              </a:graphicData>
            </a:graphic>
          </wp:anchor>
        </w:drawing>
      </w:r>
      <w:r>
        <w:br w:type="page"/>
      </w:r>
    </w:p>
    <w:p>
      <w:r>
        <w:drawing>
          <wp:anchor distT="0" distB="0" distL="114300" distR="114300" simplePos="0" relativeHeight="251665408" behindDoc="0" locked="0" layoutInCell="1" allowOverlap="1">
            <wp:simplePos x="0" y="0"/>
            <wp:positionH relativeFrom="column">
              <wp:posOffset>-215900</wp:posOffset>
            </wp:positionH>
            <wp:positionV relativeFrom="paragraph">
              <wp:posOffset>-215900</wp:posOffset>
            </wp:positionV>
            <wp:extent cx="7557770" cy="10690860"/>
            <wp:effectExtent l="0" t="0" r="508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r>
        <w:br w:type="page"/>
      </w:r>
    </w:p>
    <w:p>
      <w:r>
        <w:drawing>
          <wp:anchor distT="0" distB="0" distL="114300" distR="114300" simplePos="0" relativeHeight="251669504" behindDoc="0" locked="0" layoutInCell="1" allowOverlap="1">
            <wp:simplePos x="0" y="0"/>
            <wp:positionH relativeFrom="column">
              <wp:posOffset>-215900</wp:posOffset>
            </wp:positionH>
            <wp:positionV relativeFrom="paragraph">
              <wp:posOffset>-215900</wp:posOffset>
            </wp:positionV>
            <wp:extent cx="7581900" cy="10723880"/>
            <wp:effectExtent l="0" t="0" r="0"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1900" cy="1072388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188"/>
        <w:gridCol w:w="501"/>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7"/>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荣耀时光（海边版）</w:t>
            </w:r>
          </w:p>
        </w:tc>
      </w:tr>
      <w:tr>
        <w:tblPrEx>
          <w:tblLayout w:type="fixed"/>
          <w:tblCellMar>
            <w:top w:w="57" w:type="dxa"/>
            <w:left w:w="57" w:type="dxa"/>
            <w:bottom w:w="57" w:type="dxa"/>
            <w:right w:w="57" w:type="dxa"/>
          </w:tblCellMar>
        </w:tblPrEx>
        <w:trPr>
          <w:trHeight w:val="446" w:hRule="atLeast"/>
          <w:jc w:val="center"/>
        </w:trPr>
        <w:tc>
          <w:tcPr>
            <w:tcW w:w="8348" w:type="dxa"/>
            <w:gridSpan w:val="5"/>
            <w:tcBorders>
              <w:bottom w:val="single" w:color="E60044"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E60044"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3"/>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住有面子：</w:t>
            </w:r>
          </w:p>
          <w:p>
            <w:pPr>
              <w:rPr>
                <w:rFonts w:ascii="宋体" w:hAnsi="宋体"/>
                <w:sz w:val="20"/>
                <w:szCs w:val="20"/>
              </w:rPr>
            </w:pPr>
            <w:r>
              <w:rPr>
                <w:rFonts w:hint="eastAsia" w:ascii="宋体" w:hAnsi="宋体"/>
                <w:sz w:val="20"/>
                <w:szCs w:val="20"/>
              </w:rPr>
              <w:t xml:space="preserve">三亚一地，全程连住海边酒店，免行李搬运烦扰。 </w:t>
            </w:r>
          </w:p>
          <w:p>
            <w:pPr>
              <w:spacing w:line="280" w:lineRule="exact"/>
              <w:rPr>
                <w:rFonts w:cs="Arial" w:asciiTheme="minorEastAsia" w:hAnsiTheme="minorEastAsia"/>
                <w:b/>
                <w:bCs/>
                <w:color w:val="E60044"/>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玩有面子：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三大5A搭配双4A景区，赠海景摩天轮，5A海岛蜈支洲、5A民俗槟榔谷、5A佛境南山、4A雨林亚龙湾热带天堂森林公园、4A经典天涯海角、HOT新地标三亚国际免税城；每天2个景点，轻松行程深度体验。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吃有面子：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正餐标30元/人，升级品鉴“蟹鲍海鲜餐1份/人”、“波隆野菜自助餐”、“南山素斋”、各1次</w:t>
            </w:r>
          </w:p>
          <w:p>
            <w:pPr>
              <w:spacing w:line="280" w:lineRule="exact"/>
              <w:rPr>
                <w:rFonts w:cs="Arial" w:asciiTheme="minorEastAsia" w:hAnsiTheme="minorEastAsia"/>
                <w:b/>
                <w:bCs/>
                <w:color w:val="E60044"/>
                <w:szCs w:val="21"/>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line="280" w:lineRule="exact"/>
              <w:rPr>
                <w:rFonts w:ascii="宋体" w:hAnsi="宋体"/>
                <w:sz w:val="20"/>
                <w:szCs w:val="20"/>
              </w:rPr>
            </w:pPr>
            <w:r>
              <w:rPr>
                <w:rFonts w:hint="eastAsia" w:ascii="宋体" w:hAnsi="宋体"/>
                <w:sz w:val="20"/>
                <w:szCs w:val="20"/>
              </w:rPr>
              <w:t>0购物，全程不增加行程外购物点、不更换景点、不压缩游览时间，违约赔付2000元/人。</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经典赠送：</w:t>
            </w:r>
          </w:p>
          <w:p>
            <w:pPr>
              <w:spacing w:after="156" w:afterLines="50" w:line="280" w:lineRule="exact"/>
              <w:rPr>
                <w:rFonts w:ascii="宋体" w:hAnsi="宋体"/>
                <w:sz w:val="20"/>
                <w:szCs w:val="20"/>
              </w:rPr>
            </w:pPr>
            <w:r>
              <w:rPr>
                <w:rFonts w:hint="eastAsia" w:ascii="宋体" w:hAnsi="宋体"/>
                <w:sz w:val="20"/>
                <w:szCs w:val="20"/>
              </w:rPr>
              <w:t>全程品牌矿泉水1瓶/人/天、旅行社责任险。</w:t>
            </w:r>
          </w:p>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271" w:hRule="atLeast"/>
          <w:jc w:val="center"/>
        </w:trPr>
        <w:tc>
          <w:tcPr>
            <w:tcW w:w="1863" w:type="dxa"/>
            <w:gridSpan w:val="3"/>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673"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 xml:space="preserve">三亚国际免税城 </w:t>
            </w:r>
          </w:p>
          <w:p>
            <w:pPr>
              <w:pStyle w:val="5"/>
              <w:keepNext w:val="0"/>
              <w:keepLines w:val="0"/>
              <w:pageBreakBefore w:val="0"/>
              <w:kinsoku/>
              <w:wordWrap/>
              <w:overflowPunct/>
              <w:topLinePunct w:val="0"/>
              <w:autoSpaceDE/>
              <w:autoSpaceDN/>
              <w:bidi w:val="0"/>
              <w:adjustRightInd/>
              <w:snapToGrid/>
              <w:spacing w:before="62" w:beforeLines="20" w:beforeAutospacing="0" w:after="62" w:afterLines="20" w:afterAutospacing="0" w:line="260" w:lineRule="exact"/>
              <w:jc w:val="both"/>
              <w:textAlignment w:val="auto"/>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r>
              <w:rPr>
                <w:rFonts w:hint="eastAsia"/>
              </w:rPr>
              <w:t xml:space="preserve">  </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rPr>
            </w:pPr>
            <w:r>
              <w:rPr>
                <w:rFonts w:hint="eastAsia" w:ascii="宋体" w:hAnsi="宋体"/>
                <w:color w:val="E60044"/>
                <w:sz w:val="18"/>
                <w:szCs w:val="18"/>
              </w:rPr>
              <w:t>住宿安排：</w:t>
            </w:r>
            <w:r>
              <w:rPr>
                <w:rFonts w:hint="eastAsia"/>
                <w:sz w:val="18"/>
                <w:szCs w:val="18"/>
              </w:rPr>
              <w:t>指定酒店</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49"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60" w:lineRule="exact"/>
              <w:textAlignment w:val="auto"/>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 xml:space="preserve">亚龙湾热带天堂森林公园 </w:t>
            </w:r>
            <w:r>
              <w:rPr>
                <w:rFonts w:hint="eastAsia"/>
                <w:b/>
                <w:color w:val="E60044"/>
                <w:sz w:val="18"/>
                <w:szCs w:val="18"/>
              </w:rPr>
              <w:t>—赠海景摩天轮</w:t>
            </w:r>
          </w:p>
          <w:p>
            <w:pPr>
              <w:keepNext w:val="0"/>
              <w:keepLines w:val="0"/>
              <w:pageBreakBefore w:val="0"/>
              <w:kinsoku/>
              <w:wordWrap/>
              <w:overflowPunct/>
              <w:topLinePunct w:val="0"/>
              <w:autoSpaceDE/>
              <w:autoSpaceDN/>
              <w:bidi w:val="0"/>
              <w:adjustRightInd/>
              <w:snapToGrid/>
              <w:spacing w:line="260" w:lineRule="exact"/>
              <w:textAlignment w:val="auto"/>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keepNext w:val="0"/>
              <w:keepLines w:val="0"/>
              <w:pageBreakBefore w:val="0"/>
              <w:kinsoku/>
              <w:wordWrap/>
              <w:overflowPunct/>
              <w:topLinePunct w:val="0"/>
              <w:autoSpaceDE/>
              <w:autoSpaceDN/>
              <w:bidi w:val="0"/>
              <w:adjustRightInd/>
              <w:snapToGrid/>
              <w:spacing w:line="260" w:lineRule="exact"/>
              <w:textAlignment w:val="auto"/>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keepNext w:val="0"/>
              <w:keepLines w:val="0"/>
              <w:pageBreakBefore w:val="0"/>
              <w:kinsoku/>
              <w:wordWrap/>
              <w:overflowPunct/>
              <w:topLinePunct w:val="0"/>
              <w:autoSpaceDE/>
              <w:autoSpaceDN/>
              <w:bidi w:val="0"/>
              <w:adjustRightInd/>
              <w:snapToGrid/>
              <w:spacing w:line="260" w:lineRule="exact"/>
              <w:textAlignment w:val="auto"/>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keepNext w:val="0"/>
              <w:keepLines w:val="0"/>
              <w:pageBreakBefore w:val="0"/>
              <w:kinsoku/>
              <w:wordWrap/>
              <w:overflowPunct/>
              <w:topLinePunct w:val="0"/>
              <w:autoSpaceDE/>
              <w:autoSpaceDN/>
              <w:bidi w:val="0"/>
              <w:adjustRightInd/>
              <w:snapToGrid/>
              <w:spacing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keepNext w:val="0"/>
              <w:keepLines w:val="0"/>
              <w:pageBreakBefore w:val="0"/>
              <w:kinsoku/>
              <w:wordWrap/>
              <w:overflowPunct/>
              <w:topLinePunct w:val="0"/>
              <w:autoSpaceDE/>
              <w:autoSpaceDN/>
              <w:bidi w:val="0"/>
              <w:adjustRightInd/>
              <w:snapToGrid/>
              <w:spacing w:line="260" w:lineRule="exact"/>
              <w:textAlignment w:val="auto"/>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中餐：波隆野菜自助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017" w:hRule="atLeast"/>
          <w:jc w:val="center"/>
        </w:trPr>
        <w:tc>
          <w:tcPr>
            <w:tcW w:w="1863" w:type="dxa"/>
            <w:gridSpan w:val="3"/>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b/>
                <w:color w:val="E60044"/>
                <w:sz w:val="18"/>
                <w:szCs w:val="18"/>
              </w:rPr>
            </w:pPr>
            <w:r>
              <w:rPr>
                <w:rFonts w:hint="eastAsia"/>
                <w:color w:val="E60044"/>
                <w:sz w:val="18"/>
                <w:szCs w:val="18"/>
              </w:rPr>
              <w:t>景点安排：</w:t>
            </w:r>
            <w:r>
              <w:rPr>
                <w:rFonts w:hint="eastAsia"/>
                <w:b/>
                <w:bCs/>
                <w:color w:val="E60044"/>
                <w:sz w:val="18"/>
                <w:szCs w:val="18"/>
              </w:rPr>
              <w:t>南山佛教文化苑</w:t>
            </w:r>
            <w:r>
              <w:rPr>
                <w:rFonts w:hint="eastAsia"/>
                <w:color w:val="E60044"/>
                <w:sz w:val="18"/>
                <w:szCs w:val="18"/>
              </w:rPr>
              <w:t>—</w:t>
            </w:r>
            <w:r>
              <w:rPr>
                <w:rFonts w:hint="eastAsia"/>
                <w:b/>
                <w:color w:val="E60044"/>
                <w:sz w:val="18"/>
                <w:szCs w:val="18"/>
              </w:rPr>
              <w:t>天涯海角</w:t>
            </w:r>
          </w:p>
          <w:p>
            <w:pPr>
              <w:pStyle w:val="5"/>
              <w:keepNext w:val="0"/>
              <w:keepLines w:val="0"/>
              <w:pageBreakBefore w:val="0"/>
              <w:kinsoku/>
              <w:wordWrap/>
              <w:overflowPunct/>
              <w:topLinePunct w:val="0"/>
              <w:autoSpaceDE/>
              <w:autoSpaceDN/>
              <w:bidi w:val="0"/>
              <w:adjustRightInd/>
              <w:snapToGrid/>
              <w:spacing w:before="62" w:beforeLines="20" w:beforeAutospacing="0" w:after="62" w:afterLines="20" w:afterAutospacing="0" w:line="260" w:lineRule="exact"/>
              <w:jc w:val="both"/>
              <w:textAlignment w:val="auto"/>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gridSpan w:val="3"/>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lang w:val="zh-TW"/>
              </w:rPr>
            </w:pPr>
            <w:r>
              <w:rPr>
                <w:rFonts w:hint="eastAsia"/>
                <w:sz w:val="18"/>
                <w:szCs w:val="18"/>
                <w:lang w:val="zh-TW"/>
              </w:rPr>
              <w:t>专人送机，乘机返回温馨家园（酒店退房时间为中午12点前）。</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lang w:val="zh-TW"/>
              </w:rPr>
            </w:pPr>
          </w:p>
          <w:p>
            <w:pPr>
              <w:keepNext w:val="0"/>
              <w:keepLines w:val="0"/>
              <w:pageBreakBefore w:val="0"/>
              <w:kinsoku/>
              <w:wordWrap/>
              <w:overflowPunct/>
              <w:topLinePunct w:val="0"/>
              <w:autoSpaceDE/>
              <w:autoSpaceDN/>
              <w:bidi w:val="0"/>
              <w:adjustRightInd/>
              <w:snapToGrid/>
              <w:spacing w:before="62" w:beforeLines="20" w:after="62" w:afterLines="20" w:line="260" w:lineRule="exact"/>
              <w:textAlignment w:val="auto"/>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630"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539" w:hRule="atLeast"/>
          <w:jc w:val="center"/>
        </w:trPr>
        <w:tc>
          <w:tcPr>
            <w:tcW w:w="11225" w:type="dxa"/>
            <w:gridSpan w:val="7"/>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w:t>
            </w:r>
            <w:r>
              <w:rPr>
                <w:rFonts w:hint="eastAsia" w:ascii="宋体" w:hAnsi="宋体"/>
                <w:sz w:val="18"/>
                <w:szCs w:val="18"/>
              </w:rPr>
              <w:t>全程连住三亚海边酒店</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20"/>
                <w:szCs w:val="20"/>
              </w:rPr>
              <w:t>升级品鉴</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sz w:val="20"/>
                <w:szCs w:val="20"/>
              </w:rPr>
              <w:t>“波隆野菜自助餐”</w:t>
            </w:r>
            <w:r>
              <w:rPr>
                <w:rFonts w:hint="eastAsia"/>
                <w:color w:val="262626" w:themeColor="text1" w:themeTint="D9"/>
                <w:sz w:val="18"/>
                <w:szCs w:val="18"/>
                <w14:textFill>
                  <w14:solidFill>
                    <w14:schemeClr w14:val="tx1">
                      <w14:lumMod w14:val="85000"/>
                      <w14:lumOff w14:val="15000"/>
                    </w14:schemeClr>
                  </w14:solidFill>
                </w14:textFill>
              </w:rPr>
              <w:t>、“南山素斋”各</w:t>
            </w:r>
            <w:r>
              <w:rPr>
                <w:rFonts w:hint="eastAsia" w:ascii="宋体" w:hAnsi="宋体"/>
                <w:sz w:val="20"/>
                <w:szCs w:val="20"/>
              </w:rPr>
              <w:t>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w:t>
            </w:r>
            <w:bookmarkStart w:id="0" w:name="_GoBack"/>
            <w:bookmarkEnd w:id="0"/>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7"/>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524"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碧海金沙、君锦、容锦海悦、凯瑞莱、颐和、君亭、新城酒店、万嘉</w:t>
            </w:r>
          </w:p>
        </w:tc>
      </w:tr>
      <w:tr>
        <w:tblPrEx>
          <w:tblLayout w:type="fixed"/>
          <w:tblCellMar>
            <w:top w:w="113" w:type="dxa"/>
            <w:left w:w="57" w:type="dxa"/>
            <w:bottom w:w="113" w:type="dxa"/>
            <w:right w:w="57" w:type="dxa"/>
          </w:tblCellMar>
        </w:tblPrEx>
        <w:trPr>
          <w:trHeight w:val="596" w:hRule="atLeast"/>
          <w:jc w:val="center"/>
        </w:trPr>
        <w:tc>
          <w:tcPr>
            <w:tcW w:w="11225" w:type="dxa"/>
            <w:gridSpan w:val="7"/>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513" w:hRule="atLeast"/>
          <w:jc w:val="center"/>
        </w:trPr>
        <w:tc>
          <w:tcPr>
            <w:tcW w:w="11225" w:type="dxa"/>
            <w:gridSpan w:val="7"/>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1026"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6"/>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20"/>
                <w:szCs w:val="20"/>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tbl>
            <w:tblPr>
              <w:tblStyle w:val="6"/>
              <w:tblpPr w:leftFromText="180" w:rightFromText="180" w:vertAnchor="text" w:horzAnchor="page" w:tblpX="415" w:tblpY="93"/>
              <w:tblOverlap w:val="never"/>
              <w:tblW w:w="2244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旅游者对车辆及司机服务有投诉请直接向海南旅游车统一调度中心进行投诉，电话：0898-66833159。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更换为其它等价景点或项目【如：蜈支洲换为天堂森林公园或呀诺达+雨林养生餐】,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2697C"/>
    <w:rsid w:val="0002791C"/>
    <w:rsid w:val="00032B26"/>
    <w:rsid w:val="00044851"/>
    <w:rsid w:val="00092322"/>
    <w:rsid w:val="000C053C"/>
    <w:rsid w:val="000D3503"/>
    <w:rsid w:val="00173EDF"/>
    <w:rsid w:val="001861A6"/>
    <w:rsid w:val="00196C13"/>
    <w:rsid w:val="001A5209"/>
    <w:rsid w:val="002044FA"/>
    <w:rsid w:val="00242709"/>
    <w:rsid w:val="00246C49"/>
    <w:rsid w:val="00277009"/>
    <w:rsid w:val="002950DF"/>
    <w:rsid w:val="002D4A1C"/>
    <w:rsid w:val="00324018"/>
    <w:rsid w:val="00324C8A"/>
    <w:rsid w:val="003262BC"/>
    <w:rsid w:val="00330D2F"/>
    <w:rsid w:val="003458D1"/>
    <w:rsid w:val="00361588"/>
    <w:rsid w:val="004242E7"/>
    <w:rsid w:val="00433239"/>
    <w:rsid w:val="004618B0"/>
    <w:rsid w:val="00473CE0"/>
    <w:rsid w:val="0048181A"/>
    <w:rsid w:val="00483E92"/>
    <w:rsid w:val="004A5D8B"/>
    <w:rsid w:val="004D5F2B"/>
    <w:rsid w:val="004E522A"/>
    <w:rsid w:val="004F6A01"/>
    <w:rsid w:val="00501410"/>
    <w:rsid w:val="005632FF"/>
    <w:rsid w:val="005805A8"/>
    <w:rsid w:val="00585765"/>
    <w:rsid w:val="005858C5"/>
    <w:rsid w:val="00606487"/>
    <w:rsid w:val="00607267"/>
    <w:rsid w:val="00615F52"/>
    <w:rsid w:val="00616EC2"/>
    <w:rsid w:val="00661CE0"/>
    <w:rsid w:val="00663A02"/>
    <w:rsid w:val="006D7CC8"/>
    <w:rsid w:val="006F004B"/>
    <w:rsid w:val="007605D7"/>
    <w:rsid w:val="00780BF5"/>
    <w:rsid w:val="007D5E35"/>
    <w:rsid w:val="007F3433"/>
    <w:rsid w:val="00803B2F"/>
    <w:rsid w:val="00882164"/>
    <w:rsid w:val="008C2FE6"/>
    <w:rsid w:val="00975B8D"/>
    <w:rsid w:val="00984B67"/>
    <w:rsid w:val="009861CB"/>
    <w:rsid w:val="009E6EBD"/>
    <w:rsid w:val="00A75E75"/>
    <w:rsid w:val="00AA12D5"/>
    <w:rsid w:val="00AE25BC"/>
    <w:rsid w:val="00AF1059"/>
    <w:rsid w:val="00B17786"/>
    <w:rsid w:val="00B238D6"/>
    <w:rsid w:val="00B30C1E"/>
    <w:rsid w:val="00B33751"/>
    <w:rsid w:val="00B40DA6"/>
    <w:rsid w:val="00B42691"/>
    <w:rsid w:val="00B55630"/>
    <w:rsid w:val="00B60F04"/>
    <w:rsid w:val="00B61D86"/>
    <w:rsid w:val="00BD6030"/>
    <w:rsid w:val="00BE3E5B"/>
    <w:rsid w:val="00BF0D67"/>
    <w:rsid w:val="00C24052"/>
    <w:rsid w:val="00D02D09"/>
    <w:rsid w:val="00D35B14"/>
    <w:rsid w:val="00DA17D8"/>
    <w:rsid w:val="00DA1DB7"/>
    <w:rsid w:val="00DB31E6"/>
    <w:rsid w:val="00DE176E"/>
    <w:rsid w:val="00DF5895"/>
    <w:rsid w:val="00E16440"/>
    <w:rsid w:val="00E53404"/>
    <w:rsid w:val="00E627C6"/>
    <w:rsid w:val="00E67D00"/>
    <w:rsid w:val="00ED2584"/>
    <w:rsid w:val="00EE3F36"/>
    <w:rsid w:val="00F06DE7"/>
    <w:rsid w:val="00F10CB4"/>
    <w:rsid w:val="00F2775E"/>
    <w:rsid w:val="00F42E12"/>
    <w:rsid w:val="00F579EB"/>
    <w:rsid w:val="00FA3816"/>
    <w:rsid w:val="01786AC3"/>
    <w:rsid w:val="02E8169C"/>
    <w:rsid w:val="05EA05B9"/>
    <w:rsid w:val="060B3707"/>
    <w:rsid w:val="07EB79D6"/>
    <w:rsid w:val="09956601"/>
    <w:rsid w:val="0A4C6366"/>
    <w:rsid w:val="0B952A4F"/>
    <w:rsid w:val="0BA115A6"/>
    <w:rsid w:val="0CA829F3"/>
    <w:rsid w:val="0D6367E4"/>
    <w:rsid w:val="14DD2A45"/>
    <w:rsid w:val="150A19EE"/>
    <w:rsid w:val="176554E0"/>
    <w:rsid w:val="17784F52"/>
    <w:rsid w:val="17C82FF6"/>
    <w:rsid w:val="18863276"/>
    <w:rsid w:val="19B36C68"/>
    <w:rsid w:val="1C627327"/>
    <w:rsid w:val="22046744"/>
    <w:rsid w:val="221456E5"/>
    <w:rsid w:val="2436699F"/>
    <w:rsid w:val="258955DB"/>
    <w:rsid w:val="29D65DDA"/>
    <w:rsid w:val="2B4262A0"/>
    <w:rsid w:val="2B430BAE"/>
    <w:rsid w:val="2BE222CE"/>
    <w:rsid w:val="2D0D48B7"/>
    <w:rsid w:val="2D5124B4"/>
    <w:rsid w:val="30DB5145"/>
    <w:rsid w:val="31015BBD"/>
    <w:rsid w:val="31F9170C"/>
    <w:rsid w:val="321B2240"/>
    <w:rsid w:val="327971CA"/>
    <w:rsid w:val="34D92E2C"/>
    <w:rsid w:val="39B73441"/>
    <w:rsid w:val="39E40528"/>
    <w:rsid w:val="3A505AAF"/>
    <w:rsid w:val="3A6401D0"/>
    <w:rsid w:val="3B604E2B"/>
    <w:rsid w:val="3F0E104E"/>
    <w:rsid w:val="40920211"/>
    <w:rsid w:val="44AC71E3"/>
    <w:rsid w:val="455005EE"/>
    <w:rsid w:val="459D00E8"/>
    <w:rsid w:val="4D0C0565"/>
    <w:rsid w:val="4D890873"/>
    <w:rsid w:val="4ECC72E7"/>
    <w:rsid w:val="511D4FF2"/>
    <w:rsid w:val="51FB000A"/>
    <w:rsid w:val="52236754"/>
    <w:rsid w:val="544D468F"/>
    <w:rsid w:val="55A47791"/>
    <w:rsid w:val="58451BBE"/>
    <w:rsid w:val="5A3E454D"/>
    <w:rsid w:val="5AEB4ACB"/>
    <w:rsid w:val="5CF4716A"/>
    <w:rsid w:val="5D1B22F7"/>
    <w:rsid w:val="5F1668A2"/>
    <w:rsid w:val="60AB3B68"/>
    <w:rsid w:val="61A902A4"/>
    <w:rsid w:val="64BD2ACA"/>
    <w:rsid w:val="66D33328"/>
    <w:rsid w:val="687B7117"/>
    <w:rsid w:val="690C064F"/>
    <w:rsid w:val="69534E8F"/>
    <w:rsid w:val="6B180247"/>
    <w:rsid w:val="6D301E87"/>
    <w:rsid w:val="6F6E2C29"/>
    <w:rsid w:val="6FFC6A05"/>
    <w:rsid w:val="701E7300"/>
    <w:rsid w:val="71FF0EAE"/>
    <w:rsid w:val="738E2FE7"/>
    <w:rsid w:val="73A7096F"/>
    <w:rsid w:val="740C1D6B"/>
    <w:rsid w:val="74535614"/>
    <w:rsid w:val="760072F8"/>
    <w:rsid w:val="76865A7E"/>
    <w:rsid w:val="778B1DFE"/>
    <w:rsid w:val="798B285C"/>
    <w:rsid w:val="7A215CB8"/>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1081</Words>
  <Characters>6167</Characters>
  <Lines>51</Lines>
  <Paragraphs>14</Paragraphs>
  <TotalTime>137</TotalTime>
  <ScaleCrop>false</ScaleCrop>
  <LinksUpToDate>false</LinksUpToDate>
  <CharactersWithSpaces>7234</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2019-08-16T10:10:06Z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