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hd w:val="clear" w:color="auto" w:fill="FFFFFF"/>
        <w:kinsoku/>
        <w:wordWrap/>
        <w:overflowPunct/>
        <w:topLinePunct w:val="0"/>
        <w:bidi w:val="0"/>
        <w:spacing w:beforeAutospacing="0" w:after="225" w:afterAutospacing="0" w:line="360" w:lineRule="auto"/>
        <w:jc w:val="center"/>
        <w:textAlignment w:val="auto"/>
        <w:rPr>
          <w:rFonts w:hint="eastAsia" w:ascii="微软雅黑" w:hAnsi="微软雅黑" w:eastAsia="微软雅黑" w:cs="微软雅黑"/>
          <w:b/>
          <w:kern w:val="2"/>
          <w:sz w:val="48"/>
          <w:szCs w:val="21"/>
          <w:lang w:val="zh-CN" w:bidi="zh-CN"/>
        </w:rPr>
      </w:pPr>
      <w:bookmarkStart w:id="0" w:name="________________色达、新都桥环线4日游（10月2日）"/>
      <w:bookmarkEnd w:id="0"/>
      <w:r>
        <w:rPr>
          <w:rFonts w:hint="eastAsia" w:ascii="微软雅黑" w:hAnsi="微软雅黑" w:eastAsia="微软雅黑" w:cs="微软雅黑"/>
          <w:b/>
          <w:kern w:val="2"/>
          <w:sz w:val="48"/>
          <w:szCs w:val="21"/>
          <w:lang w:val="zh-CN" w:bidi="zh-CN"/>
        </w:rPr>
        <w:t>达瓦更扎景区直通车</w:t>
      </w:r>
    </w:p>
    <w:p>
      <w:pPr>
        <w:pStyle w:val="6"/>
        <w:keepNext w:val="0"/>
        <w:keepLines w:val="0"/>
        <w:pageBreakBefore w:val="0"/>
        <w:widowControl/>
        <w:shd w:val="clear" w:color="auto" w:fill="FFFFFF"/>
        <w:kinsoku/>
        <w:wordWrap/>
        <w:overflowPunct/>
        <w:topLinePunct w:val="0"/>
        <w:bidi w:val="0"/>
        <w:spacing w:beforeAutospacing="0" w:after="225" w:afterAutospacing="0" w:line="360" w:lineRule="auto"/>
        <w:jc w:val="center"/>
        <w:textAlignment w:val="auto"/>
        <w:rPr>
          <w:rFonts w:hint="eastAsia" w:ascii="微软雅黑" w:hAnsi="微软雅黑" w:eastAsia="微软雅黑" w:cs="微软雅黑"/>
          <w:kern w:val="2"/>
          <w:szCs w:val="21"/>
          <w:lang w:val="zh-CN" w:bidi="zh-CN"/>
        </w:rPr>
      </w:pPr>
      <w:r>
        <w:rPr>
          <w:rFonts w:hint="eastAsia" w:ascii="微软雅黑" w:hAnsi="微软雅黑" w:eastAsia="微软雅黑" w:cs="微软雅黑"/>
          <w:kern w:val="2"/>
          <w:szCs w:val="21"/>
          <w:lang w:val="zh-CN" w:bidi="zh-CN"/>
        </w:rPr>
        <w:t>达瓦更扎</w:t>
      </w:r>
      <w:r>
        <w:rPr>
          <w:rFonts w:hint="eastAsia" w:ascii="微软雅黑" w:hAnsi="微软雅黑" w:eastAsia="微软雅黑" w:cs="微软雅黑"/>
          <w:kern w:val="2"/>
          <w:szCs w:val="21"/>
          <w:lang w:val="en-US" w:bidi="zh-CN"/>
        </w:rPr>
        <w:t>+</w:t>
      </w:r>
      <w:r>
        <w:rPr>
          <w:rFonts w:hint="eastAsia" w:ascii="微软雅黑" w:hAnsi="微软雅黑" w:eastAsia="微软雅黑" w:cs="微软雅黑"/>
          <w:kern w:val="2"/>
          <w:szCs w:val="21"/>
          <w:lang w:val="zh-CN" w:bidi="zh-CN"/>
        </w:rPr>
        <w:t>神木垒2日游</w:t>
      </w: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
          <w:bCs w:val="0"/>
          <w:color w:val="0070C0"/>
          <w:kern w:val="2"/>
          <w:sz w:val="21"/>
          <w:szCs w:val="21"/>
          <w:lang w:val="zh-CN" w:bidi="zh-CN"/>
        </w:rPr>
        <w:t>达瓦更扎</w:t>
      </w:r>
      <w:r>
        <w:rPr>
          <w:rFonts w:hint="eastAsia" w:ascii="微软雅黑" w:hAnsi="微软雅黑" w:eastAsia="微软雅黑" w:cs="微软雅黑"/>
          <w:bCs/>
          <w:color w:val="000000"/>
          <w:kern w:val="2"/>
          <w:sz w:val="21"/>
          <w:szCs w:val="21"/>
          <w:lang w:val="zh-CN" w:bidi="zh-CN"/>
        </w:rPr>
        <w:t>景区位于四川省雅安市宝兴县硗碛藏族乡 达瓦更扎在藏语中意为“美丽的神山”，景区既可环顾北面的四姑娘山、南面的帕格拉神山、西面的贡嘎群峰、东面的峨眉山等名山，又可观赏云瀑云海、日照金山、佛光、星空、草甸、湖泊、峡谷、群峰、雾凇、高山杜鹃、藏寨等各类景观，景区主要因云海、日出、佛光、雾凇、草甸、高山杜鹃等景观而闻名。</w:t>
      </w: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drawing>
          <wp:inline distT="0" distB="0" distL="114300" distR="114300">
            <wp:extent cx="2547620" cy="1550670"/>
            <wp:effectExtent l="0" t="0" r="5080" b="11430"/>
            <wp:docPr id="4" name="图片 4" descr="157233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2332355"/>
                    <pic:cNvPicPr>
                      <a:picLocks noChangeAspect="1"/>
                    </pic:cNvPicPr>
                  </pic:nvPicPr>
                  <pic:blipFill>
                    <a:blip r:embed="rId6"/>
                    <a:stretch>
                      <a:fillRect/>
                    </a:stretch>
                  </pic:blipFill>
                  <pic:spPr>
                    <a:xfrm>
                      <a:off x="0" y="0"/>
                      <a:ext cx="2547620" cy="1550670"/>
                    </a:xfrm>
                    <a:prstGeom prst="rect">
                      <a:avLst/>
                    </a:prstGeom>
                  </pic:spPr>
                </pic:pic>
              </a:graphicData>
            </a:graphic>
          </wp:inline>
        </w:drawing>
      </w:r>
      <w:r>
        <w:rPr>
          <w:rFonts w:hint="eastAsia" w:ascii="微软雅黑" w:hAnsi="微软雅黑" w:eastAsia="微软雅黑" w:cs="微软雅黑"/>
          <w:bCs/>
          <w:color w:val="000000"/>
          <w:kern w:val="2"/>
          <w:sz w:val="21"/>
          <w:szCs w:val="21"/>
        </w:rPr>
        <w:drawing>
          <wp:inline distT="0" distB="0" distL="114300" distR="114300">
            <wp:extent cx="2651760" cy="1542415"/>
            <wp:effectExtent l="0" t="0" r="15240" b="635"/>
            <wp:docPr id="6" name="图片 6" descr="157233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2332355(1)"/>
                    <pic:cNvPicPr>
                      <a:picLocks noChangeAspect="1"/>
                    </pic:cNvPicPr>
                  </pic:nvPicPr>
                  <pic:blipFill>
                    <a:blip r:embed="rId7"/>
                    <a:stretch>
                      <a:fillRect/>
                    </a:stretch>
                  </pic:blipFill>
                  <pic:spPr>
                    <a:xfrm>
                      <a:off x="0" y="0"/>
                      <a:ext cx="2651760" cy="1542415"/>
                    </a:xfrm>
                    <a:prstGeom prst="rect">
                      <a:avLst/>
                    </a:prstGeom>
                  </pic:spPr>
                </pic:pic>
              </a:graphicData>
            </a:graphic>
          </wp:inline>
        </w:drawing>
      </w: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
          <w:bCs w:val="0"/>
          <w:color w:val="0070C0"/>
          <w:kern w:val="2"/>
          <w:sz w:val="21"/>
          <w:szCs w:val="21"/>
          <w:lang w:val="en-US" w:eastAsia="zh-CN" w:bidi="zh-CN"/>
        </w:rPr>
        <w:t>邓池沟</w:t>
      </w:r>
      <w:r>
        <w:rPr>
          <w:rFonts w:hint="eastAsia" w:ascii="微软雅黑" w:hAnsi="微软雅黑" w:eastAsia="微软雅黑" w:cs="微软雅黑"/>
          <w:bCs/>
          <w:color w:val="000000"/>
          <w:kern w:val="2"/>
          <w:sz w:val="21"/>
          <w:szCs w:val="21"/>
          <w:lang w:val="zh-CN" w:bidi="zh-CN"/>
        </w:rPr>
        <w:t>1802年，法国远东教会的周耶神甫便开始在邓池沟传教，1829年周耶病逝并葬归此地，从那时起，这里成为了川西天主教堂的圣地。1869年，又一个西洋传教士，阿尔芒·戴维，步履坚定的徒步行走到了这里，之后在此传教30余年，发现了学术界首只活体大熊猫，并将其制作成为标本，送到法国国家博物馆展出，引发了延续至今的全球"熊猫热"。</w:t>
      </w: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Cs/>
          <w:color w:val="000000"/>
          <w:kern w:val="2"/>
          <w:sz w:val="21"/>
          <w:szCs w:val="21"/>
          <w:lang w:val="zh-CN" w:bidi="zh-CN"/>
        </w:rPr>
        <w:drawing>
          <wp:inline distT="0" distB="0" distL="114300" distR="114300">
            <wp:extent cx="2565400" cy="1810385"/>
            <wp:effectExtent l="0" t="0" r="6350" b="18415"/>
            <wp:docPr id="2" name="图片 2" descr="Cii-TlkZXTqINH4VAAEPRNEf1v8AAJ2xgFivOoAAQ9c039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i-TlkZXTqINH4VAAEPRNEf1v8AAJ2xgFivOoAAQ9c039_w800_h0_c0_t0"/>
                    <pic:cNvPicPr>
                      <a:picLocks noChangeAspect="1"/>
                    </pic:cNvPicPr>
                  </pic:nvPicPr>
                  <pic:blipFill>
                    <a:blip r:embed="rId8"/>
                    <a:stretch>
                      <a:fillRect/>
                    </a:stretch>
                  </pic:blipFill>
                  <pic:spPr>
                    <a:xfrm>
                      <a:off x="0" y="0"/>
                      <a:ext cx="2565400" cy="1810385"/>
                    </a:xfrm>
                    <a:prstGeom prst="rect">
                      <a:avLst/>
                    </a:prstGeom>
                  </pic:spPr>
                </pic:pic>
              </a:graphicData>
            </a:graphic>
          </wp:inline>
        </w:drawing>
      </w:r>
      <w:r>
        <w:rPr>
          <w:rFonts w:ascii="宋体" w:hAnsi="宋体" w:eastAsia="宋体" w:cs="宋体"/>
          <w:sz w:val="24"/>
          <w:szCs w:val="24"/>
        </w:rPr>
        <w:drawing>
          <wp:inline distT="0" distB="0" distL="114300" distR="114300">
            <wp:extent cx="2604135" cy="1814830"/>
            <wp:effectExtent l="0" t="0" r="5715" b="1397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2604135" cy="1814830"/>
                    </a:xfrm>
                    <a:prstGeom prst="rect">
                      <a:avLst/>
                    </a:prstGeom>
                    <a:noFill/>
                    <a:ln w="9525">
                      <a:noFill/>
                    </a:ln>
                  </pic:spPr>
                </pic:pic>
              </a:graphicData>
            </a:graphic>
          </wp:inline>
        </w:drawing>
      </w: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jc w:val="center"/>
        <w:textAlignment w:val="auto"/>
        <w:rPr>
          <w:rFonts w:hint="eastAsia" w:ascii="微软雅黑" w:hAnsi="微软雅黑" w:eastAsia="微软雅黑" w:cs="微软雅黑"/>
          <w:b/>
          <w:bCs/>
          <w:szCs w:val="21"/>
        </w:rPr>
      </w:pPr>
    </w:p>
    <w:p>
      <w:pPr>
        <w:pStyle w:val="6"/>
        <w:keepNext w:val="0"/>
        <w:keepLines w:val="0"/>
        <w:pageBreakBefore w:val="0"/>
        <w:widowControl/>
        <w:shd w:val="clear" w:color="auto" w:fill="FFFFFF"/>
        <w:kinsoku/>
        <w:wordWrap/>
        <w:overflowPunct/>
        <w:topLinePunct w:val="0"/>
        <w:bidi w:val="0"/>
        <w:snapToGrid w:val="0"/>
        <w:spacing w:beforeAutospacing="0" w:after="225" w:afterAutospacing="0" w:line="36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直通车发车地点（具体以导游对接为准）</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401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840"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240" w:lineRule="auto"/>
              <w:textAlignment w:val="auto"/>
              <w:rPr>
                <w:rFonts w:hint="eastAsia" w:ascii="微软雅黑" w:hAnsi="微软雅黑" w:eastAsia="微软雅黑" w:cs="微软雅黑"/>
                <w:bCs/>
                <w:color w:val="000000"/>
                <w:kern w:val="2"/>
                <w:sz w:val="21"/>
                <w:szCs w:val="21"/>
                <w:vertAlign w:val="baseline"/>
                <w:lang w:val="zh-CN" w:bidi="zh-CN"/>
              </w:rPr>
            </w:pPr>
          </w:p>
        </w:tc>
        <w:tc>
          <w:tcPr>
            <w:tcW w:w="401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240" w:lineRule="auto"/>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vertAlign w:val="baseline"/>
                <w:lang w:val="zh-CN" w:bidi="zh-CN"/>
              </w:rPr>
              <w:t>集合上车点</w:t>
            </w:r>
          </w:p>
        </w:tc>
        <w:tc>
          <w:tcPr>
            <w:tcW w:w="166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vertAlign w:val="baseline"/>
                <w:lang w:val="zh-CN" w:bidi="zh-CN"/>
              </w:rPr>
              <w:t>散团地点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840" w:type="dxa"/>
            <w:vAlign w:val="top"/>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vertAlign w:val="baseline"/>
                <w:lang w:val="zh-CN" w:eastAsia="zh-CN" w:bidi="zh-CN"/>
              </w:rPr>
            </w:pPr>
            <w:r>
              <w:rPr>
                <w:rFonts w:hint="eastAsia" w:ascii="微软雅黑" w:hAnsi="微软雅黑" w:eastAsia="微软雅黑" w:cs="微软雅黑"/>
                <w:bCs/>
                <w:color w:val="000000"/>
                <w:kern w:val="2"/>
                <w:sz w:val="21"/>
                <w:szCs w:val="21"/>
                <w:lang w:val="zh-CN" w:bidi="zh-CN"/>
              </w:rPr>
              <w:t>成都直通车</w:t>
            </w:r>
          </w:p>
        </w:tc>
        <w:tc>
          <w:tcPr>
            <w:tcW w:w="4016" w:type="dxa"/>
            <w:vAlign w:val="top"/>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eastAsia" w:ascii="微软雅黑" w:hAnsi="微软雅黑" w:eastAsia="微软雅黑" w:cs="微软雅黑"/>
                <w:bCs/>
                <w:color w:val="000000"/>
                <w:kern w:val="2"/>
                <w:sz w:val="21"/>
                <w:szCs w:val="21"/>
                <w:vertAlign w:val="baseline"/>
                <w:lang w:val="zh-CN" w:eastAsia="zh-CN" w:bidi="zh-CN"/>
              </w:rPr>
            </w:pPr>
            <w:r>
              <w:rPr>
                <w:rFonts w:hint="eastAsia" w:ascii="微软雅黑" w:hAnsi="微软雅黑" w:eastAsia="微软雅黑" w:cs="微软雅黑"/>
                <w:b/>
                <w:bCs/>
                <w:color w:val="FF0000"/>
                <w:kern w:val="2"/>
                <w:sz w:val="21"/>
                <w:szCs w:val="21"/>
                <w:lang w:val="zh-CN" w:bidi="zh-CN"/>
              </w:rPr>
              <w:t>成都新南门旅游集散中心</w:t>
            </w:r>
            <w:r>
              <w:rPr>
                <w:rFonts w:hint="eastAsia" w:ascii="微软雅黑" w:hAnsi="微软雅黑" w:eastAsia="微软雅黑" w:cs="微软雅黑"/>
                <w:bCs/>
                <w:color w:val="000000"/>
                <w:kern w:val="2"/>
                <w:sz w:val="21"/>
                <w:szCs w:val="21"/>
                <w:lang w:val="zh-CN" w:bidi="zh-CN"/>
              </w:rPr>
              <w:t>，</w:t>
            </w:r>
            <w:r>
              <w:rPr>
                <w:rFonts w:hint="eastAsia" w:ascii="微软雅黑" w:hAnsi="微软雅黑" w:eastAsia="微软雅黑" w:cs="微软雅黑"/>
                <w:b/>
                <w:bCs/>
                <w:color w:val="FF0000"/>
                <w:kern w:val="2"/>
                <w:sz w:val="21"/>
                <w:szCs w:val="21"/>
                <w:lang w:val="zh-CN" w:bidi="zh-CN"/>
              </w:rPr>
              <w:t>雅安</w:t>
            </w:r>
            <w:r>
              <w:rPr>
                <w:rFonts w:hint="eastAsia" w:ascii="微软雅黑" w:hAnsi="微软雅黑" w:eastAsia="微软雅黑" w:cs="微软雅黑"/>
                <w:bCs/>
                <w:color w:val="000000"/>
                <w:kern w:val="2"/>
                <w:sz w:val="21"/>
                <w:szCs w:val="21"/>
                <w:lang w:val="zh-CN" w:bidi="zh-CN"/>
              </w:rPr>
              <w:t>西康大桥、</w:t>
            </w:r>
            <w:r>
              <w:rPr>
                <w:rFonts w:hint="eastAsia" w:ascii="微软雅黑" w:hAnsi="微软雅黑" w:eastAsia="微软雅黑" w:cs="微软雅黑"/>
                <w:b/>
                <w:bCs/>
                <w:color w:val="FF0000"/>
                <w:kern w:val="2"/>
                <w:sz w:val="21"/>
                <w:szCs w:val="21"/>
                <w:lang w:val="zh-CN" w:bidi="zh-CN"/>
              </w:rPr>
              <w:t>成新蒲</w:t>
            </w:r>
            <w:r>
              <w:rPr>
                <w:rFonts w:hint="eastAsia" w:ascii="微软雅黑" w:hAnsi="微软雅黑" w:eastAsia="微软雅黑" w:cs="微软雅黑"/>
                <w:bCs/>
                <w:color w:val="000000"/>
                <w:kern w:val="2"/>
                <w:sz w:val="21"/>
                <w:szCs w:val="21"/>
                <w:lang w:val="zh-CN" w:bidi="zh-CN"/>
              </w:rPr>
              <w:t>、</w:t>
            </w:r>
            <w:r>
              <w:rPr>
                <w:rFonts w:hint="eastAsia" w:ascii="微软雅黑" w:hAnsi="微软雅黑" w:eastAsia="微软雅黑" w:cs="微软雅黑"/>
                <w:b/>
                <w:bCs/>
                <w:color w:val="FF0000"/>
                <w:kern w:val="2"/>
                <w:sz w:val="21"/>
                <w:szCs w:val="21"/>
                <w:lang w:val="zh-CN" w:bidi="zh-CN"/>
              </w:rPr>
              <w:t>成温邛</w:t>
            </w:r>
            <w:r>
              <w:rPr>
                <w:rFonts w:hint="eastAsia" w:ascii="微软雅黑" w:hAnsi="微软雅黑" w:eastAsia="微软雅黑" w:cs="微软雅黑"/>
                <w:bCs/>
                <w:color w:val="000000"/>
                <w:kern w:val="2"/>
                <w:sz w:val="21"/>
                <w:szCs w:val="21"/>
                <w:lang w:val="zh-CN" w:bidi="zh-CN"/>
              </w:rPr>
              <w:t>沿线</w:t>
            </w:r>
          </w:p>
        </w:tc>
        <w:tc>
          <w:tcPr>
            <w:tcW w:w="1666" w:type="dxa"/>
            <w:vMerge w:val="restart"/>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default" w:ascii="微软雅黑" w:hAnsi="微软雅黑" w:eastAsia="微软雅黑" w:cs="微软雅黑"/>
                <w:bCs/>
                <w:color w:val="000000"/>
                <w:kern w:val="2"/>
                <w:sz w:val="21"/>
                <w:szCs w:val="21"/>
                <w:vertAlign w:val="baseline"/>
                <w:lang w:val="en-US" w:bidi="zh-CN"/>
              </w:rPr>
            </w:pPr>
            <w:r>
              <w:rPr>
                <w:rFonts w:hint="eastAsia" w:ascii="微软雅黑" w:hAnsi="微软雅黑" w:eastAsia="微软雅黑" w:cs="微软雅黑"/>
                <w:bCs/>
                <w:color w:val="000000"/>
                <w:kern w:val="2"/>
                <w:sz w:val="21"/>
                <w:szCs w:val="21"/>
                <w:vertAlign w:val="baseline"/>
                <w:lang w:val="zh-CN" w:bidi="zh-CN"/>
              </w:rPr>
              <w:t>太平园地铁站或成都西站地铁站或</w:t>
            </w:r>
            <w:r>
              <w:rPr>
                <w:rFonts w:hint="eastAsia" w:ascii="微软雅黑" w:hAnsi="微软雅黑" w:eastAsia="微软雅黑" w:cs="微软雅黑"/>
                <w:bCs/>
                <w:color w:val="000000"/>
                <w:kern w:val="2"/>
                <w:sz w:val="21"/>
                <w:szCs w:val="21"/>
                <w:vertAlign w:val="baseline"/>
                <w:lang w:val="en-US" w:bidi="zh-CN"/>
              </w:rPr>
              <w:t>出发城市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2840"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Cs/>
                <w:color w:val="000000"/>
                <w:kern w:val="2"/>
                <w:sz w:val="21"/>
                <w:szCs w:val="21"/>
                <w:lang w:val="zh-CN" w:bidi="zh-CN"/>
              </w:rPr>
              <w:t>成都高校直通车</w:t>
            </w:r>
          </w:p>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（仅每周六及节假日发班）</w:t>
            </w:r>
          </w:p>
        </w:tc>
        <w:tc>
          <w:tcPr>
            <w:tcW w:w="401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四川传媒学院、犀浦凯德广场、温江川农正门（请提前到达候车，过时不候，出发时间以导游通知为准）</w:t>
            </w:r>
          </w:p>
        </w:tc>
        <w:tc>
          <w:tcPr>
            <w:tcW w:w="1666" w:type="dxa"/>
            <w:vMerge w:val="continue"/>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eastAsia" w:ascii="微软雅黑" w:hAnsi="微软雅黑" w:eastAsia="微软雅黑" w:cs="微软雅黑"/>
                <w:bCs/>
                <w:color w:val="000000"/>
                <w:kern w:val="2"/>
                <w:sz w:val="21"/>
                <w:szCs w:val="21"/>
                <w:vertAlign w:val="baseli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川南直通车</w:t>
            </w:r>
          </w:p>
        </w:tc>
        <w:tc>
          <w:tcPr>
            <w:tcW w:w="401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泸州、自贡、乐山、内江</w:t>
            </w:r>
          </w:p>
        </w:tc>
        <w:tc>
          <w:tcPr>
            <w:tcW w:w="1666" w:type="dxa"/>
            <w:vMerge w:val="restart"/>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jc w:val="lef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vertAlign w:val="baseline"/>
                <w:lang w:val="zh-CN" w:bidi="zh-CN"/>
              </w:rPr>
              <w:t>出发城市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2840"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川北直通车</w:t>
            </w:r>
          </w:p>
        </w:tc>
        <w:tc>
          <w:tcPr>
            <w:tcW w:w="401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绵阳、德阳、广汉</w:t>
            </w:r>
          </w:p>
        </w:tc>
        <w:tc>
          <w:tcPr>
            <w:tcW w:w="1666" w:type="dxa"/>
            <w:vMerge w:val="continue"/>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乐山直通车</w:t>
            </w:r>
          </w:p>
        </w:tc>
        <w:tc>
          <w:tcPr>
            <w:tcW w:w="4016" w:type="dxa"/>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r>
              <w:rPr>
                <w:rFonts w:hint="eastAsia" w:ascii="微软雅黑" w:hAnsi="微软雅黑" w:eastAsia="微软雅黑" w:cs="微软雅黑"/>
                <w:bCs/>
                <w:color w:val="000000"/>
                <w:kern w:val="2"/>
                <w:sz w:val="21"/>
                <w:szCs w:val="21"/>
                <w:lang w:val="zh-CN" w:bidi="zh-CN"/>
              </w:rPr>
              <w:t>乐山黑桥停车场、犍为、峨眉、夹江</w:t>
            </w:r>
          </w:p>
        </w:tc>
        <w:tc>
          <w:tcPr>
            <w:tcW w:w="1666" w:type="dxa"/>
            <w:vMerge w:val="continue"/>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840"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jc w:val="center"/>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Cs/>
                <w:color w:val="000000"/>
                <w:kern w:val="2"/>
                <w:sz w:val="21"/>
                <w:szCs w:val="21"/>
                <w:lang w:val="zh-CN" w:bidi="zh-CN"/>
              </w:rPr>
              <w:t>重庆直通车</w:t>
            </w:r>
          </w:p>
        </w:tc>
        <w:tc>
          <w:tcPr>
            <w:tcW w:w="4016" w:type="dxa"/>
          </w:tcPr>
          <w:p>
            <w:pPr>
              <w:pStyle w:val="6"/>
              <w:keepNext w:val="0"/>
              <w:keepLines w:val="0"/>
              <w:pageBreakBefore w:val="0"/>
              <w:widowControl/>
              <w:shd w:val="clear" w:color="auto" w:fill="FFFFFF"/>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lang w:val="zh-CN" w:bidi="zh-CN"/>
              </w:rPr>
            </w:pPr>
            <w:r>
              <w:rPr>
                <w:rFonts w:hint="eastAsia" w:ascii="微软雅黑" w:hAnsi="微软雅黑" w:eastAsia="微软雅黑" w:cs="微软雅黑"/>
                <w:bCs/>
                <w:color w:val="000000"/>
                <w:kern w:val="2"/>
                <w:sz w:val="21"/>
                <w:szCs w:val="21"/>
                <w:lang w:val="zh-CN" w:bidi="zh-CN"/>
              </w:rPr>
              <w:t>重庆四公里集散中心（重庆出发行程和四川出发有差异具体以重庆版行程为准）</w:t>
            </w:r>
          </w:p>
        </w:tc>
        <w:tc>
          <w:tcPr>
            <w:tcW w:w="1666" w:type="dxa"/>
            <w:vMerge w:val="continue"/>
          </w:tcPr>
          <w:p>
            <w:pPr>
              <w:pStyle w:val="6"/>
              <w:keepNext w:val="0"/>
              <w:keepLines w:val="0"/>
              <w:pageBreakBefore w:val="0"/>
              <w:widowControl/>
              <w:kinsoku/>
              <w:wordWrap/>
              <w:overflowPunct/>
              <w:topLinePunct w:val="0"/>
              <w:autoSpaceDE/>
              <w:autoSpaceDN/>
              <w:bidi w:val="0"/>
              <w:adjustRightInd/>
              <w:snapToGrid w:val="0"/>
              <w:spacing w:beforeAutospacing="0" w:after="225" w:afterAutospacing="0" w:line="300" w:lineRule="exact"/>
              <w:textAlignment w:val="auto"/>
              <w:rPr>
                <w:rFonts w:hint="eastAsia" w:ascii="微软雅黑" w:hAnsi="微软雅黑" w:eastAsia="微软雅黑" w:cs="微软雅黑"/>
                <w:bCs/>
                <w:color w:val="000000"/>
                <w:kern w:val="2"/>
                <w:sz w:val="21"/>
                <w:szCs w:val="21"/>
                <w:vertAlign w:val="baseline"/>
                <w:lang w:val="zh-CN" w:bidi="zh-CN"/>
              </w:rPr>
            </w:pPr>
          </w:p>
        </w:tc>
      </w:tr>
    </w:tbl>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b/>
          <w:bCs/>
          <w:szCs w:val="21"/>
        </w:rPr>
      </w:pP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D1：集合地-</w:t>
      </w:r>
      <w:r>
        <w:rPr>
          <w:rFonts w:hint="eastAsia" w:ascii="微软雅黑" w:hAnsi="微软雅黑" w:eastAsia="微软雅黑" w:cs="微软雅黑"/>
          <w:b/>
          <w:bCs/>
          <w:szCs w:val="21"/>
          <w:lang w:val="en-US" w:eastAsia="zh-CN"/>
        </w:rPr>
        <w:t>邓池沟</w:t>
      </w:r>
      <w:r>
        <w:rPr>
          <w:rFonts w:hint="eastAsia" w:ascii="微软雅黑" w:hAnsi="微软雅黑" w:eastAsia="微软雅黑" w:cs="微软雅黑"/>
          <w:b/>
          <w:bCs/>
          <w:szCs w:val="21"/>
        </w:rPr>
        <w:t>-</w:t>
      </w:r>
      <w:r>
        <w:rPr>
          <w:rFonts w:hint="eastAsia" w:ascii="微软雅黑" w:hAnsi="微软雅黑" w:eastAsia="微软雅黑" w:cs="微软雅黑"/>
          <w:b/>
          <w:bCs/>
          <w:szCs w:val="21"/>
          <w:lang w:val="en-US" w:eastAsia="zh-CN"/>
        </w:rPr>
        <w:t>神木垒-</w:t>
      </w:r>
      <w:r>
        <w:rPr>
          <w:rFonts w:hint="eastAsia" w:ascii="微软雅黑" w:hAnsi="微软雅黑" w:eastAsia="微软雅黑" w:cs="微软雅黑"/>
          <w:b/>
          <w:bCs/>
          <w:szCs w:val="21"/>
        </w:rPr>
        <w:t>跷碛乡</w:t>
      </w:r>
      <w:r>
        <w:rPr>
          <w:rFonts w:hint="eastAsia" w:ascii="微软雅黑" w:hAnsi="微软雅黑" w:eastAsia="微软雅黑" w:cs="微软雅黑"/>
          <w:b/>
          <w:bCs/>
          <w:szCs w:val="21"/>
          <w:lang w:eastAsia="zh-CN"/>
        </w:rPr>
        <w:t>（</w:t>
      </w:r>
      <w:r>
        <w:rPr>
          <w:rFonts w:hint="eastAsia" w:ascii="微软雅黑" w:hAnsi="微软雅黑" w:eastAsia="微软雅黑" w:cs="微软雅黑"/>
          <w:b/>
          <w:bCs/>
          <w:szCs w:val="21"/>
        </w:rPr>
        <w:t>车程约5小时</w:t>
      </w:r>
      <w:r>
        <w:rPr>
          <w:rFonts w:hint="eastAsia" w:ascii="微软雅黑" w:hAnsi="微软雅黑" w:eastAsia="微软雅黑" w:cs="微软雅黑"/>
          <w:b/>
          <w:bCs/>
          <w:szCs w:val="21"/>
          <w:lang w:eastAsia="zh-CN"/>
        </w:rPr>
        <w:t>）</w:t>
      </w:r>
      <w:r>
        <w:rPr>
          <w:rFonts w:hint="eastAsia" w:ascii="微软雅黑" w:hAnsi="微软雅黑" w:eastAsia="微软雅黑" w:cs="微软雅黑"/>
          <w:b/>
          <w:bCs/>
          <w:szCs w:val="21"/>
        </w:rPr>
        <w:t>     住宿：藏家普通标间</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color w:val="FF0000"/>
          <w:szCs w:val="21"/>
        </w:rPr>
      </w:pPr>
      <w:r>
        <w:rPr>
          <w:rFonts w:hint="eastAsia" w:ascii="微软雅黑" w:hAnsi="微软雅黑" w:eastAsia="微软雅黑" w:cs="微软雅黑"/>
          <w:b/>
          <w:color w:val="FF0000"/>
          <w:kern w:val="0"/>
          <w:szCs w:val="21"/>
        </w:rPr>
        <w:t>指定时间地点（具体短信通知为准）</w:t>
      </w:r>
      <w:r>
        <w:rPr>
          <w:rFonts w:hint="eastAsia" w:ascii="微软雅黑" w:hAnsi="微软雅黑" w:eastAsia="微软雅黑" w:cs="微软雅黑"/>
          <w:color w:val="FF0000"/>
          <w:szCs w:val="21"/>
        </w:rPr>
        <w:t>统一集合出发，成都默认上车地点为新南门车站，7:40准时发车，过时不候，请提前安检上车。其他上车点以报名时确认为准。如需加钱三环路内包接，报名时+10元/人，节假日不提供三环内包接服务。出发前一天导游会与您取得联系。</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zh-CN" w:bidi="zh-CN"/>
        </w:rPr>
        <w:t>大家务必准时千万不要迟到喔！</w:t>
      </w:r>
      <w:r>
        <w:rPr>
          <w:rFonts w:hint="eastAsia" w:ascii="微软雅黑" w:hAnsi="微软雅黑" w:eastAsia="微软雅黑" w:cs="微软雅黑"/>
          <w:szCs w:val="21"/>
        </w:rPr>
        <w:t>开始愉快的两日旅程，途经高速到达雅安市，再经飞仙关至宝兴县，</w:t>
      </w:r>
      <w:r>
        <w:rPr>
          <w:rFonts w:hint="eastAsia" w:ascii="微软雅黑" w:hAnsi="微软雅黑" w:eastAsia="微软雅黑" w:cs="微软雅黑"/>
          <w:color w:val="FF0000"/>
          <w:szCs w:val="21"/>
        </w:rPr>
        <w:t>午餐</w:t>
      </w:r>
      <w:r>
        <w:rPr>
          <w:rFonts w:hint="eastAsia" w:ascii="微软雅黑" w:hAnsi="微软雅黑" w:eastAsia="微软雅黑" w:cs="微软雅黑"/>
          <w:color w:val="FF0000"/>
          <w:szCs w:val="21"/>
          <w:lang w:val="zh-CN" w:bidi="zh-CN"/>
        </w:rPr>
        <w:t>（费用不含，自费</w:t>
      </w:r>
      <w:r>
        <w:rPr>
          <w:rFonts w:hint="eastAsia" w:ascii="微软雅黑" w:hAnsi="微软雅黑" w:eastAsia="微软雅黑" w:cs="微软雅黑"/>
          <w:color w:val="FF0000"/>
          <w:szCs w:val="21"/>
          <w:lang w:bidi="zh-CN"/>
        </w:rPr>
        <w:t>30元/人，分散吃饭浪费在景区的游玩时间，建议共同用餐），</w:t>
      </w:r>
      <w:r>
        <w:rPr>
          <w:rFonts w:hint="eastAsia" w:ascii="微软雅黑" w:hAnsi="微软雅黑" w:eastAsia="微软雅黑" w:cs="微软雅黑"/>
          <w:szCs w:val="21"/>
          <w:lang w:val="en-US"/>
        </w:rPr>
        <w:t>餐后</w:t>
      </w:r>
      <w:r>
        <w:rPr>
          <w:rFonts w:hint="eastAsia" w:ascii="微软雅黑" w:hAnsi="微软雅黑" w:eastAsia="微软雅黑" w:cs="微软雅黑"/>
          <w:szCs w:val="21"/>
          <w:lang w:val="en-US" w:eastAsia="zh-CN"/>
        </w:rPr>
        <w:t>前往</w:t>
      </w:r>
      <w:r>
        <w:rPr>
          <w:rFonts w:hint="eastAsia" w:ascii="微软雅黑" w:hAnsi="微软雅黑" w:eastAsia="微软雅黑" w:cs="微软雅黑"/>
          <w:szCs w:val="21"/>
          <w:lang w:val="en-US"/>
        </w:rPr>
        <w:t>邓池沟</w:t>
      </w:r>
      <w:r>
        <w:rPr>
          <w:rFonts w:hint="eastAsia" w:ascii="微软雅黑" w:hAnsi="微软雅黑" w:eastAsia="微软雅黑" w:cs="微软雅黑"/>
          <w:color w:val="FF0000"/>
          <w:szCs w:val="21"/>
          <w:lang w:val="en-US" w:bidi="zh-CN"/>
        </w:rPr>
        <w:t>（此景点为赠送景点，本社已享景区折扣，不再次优惠，不去不退），</w:t>
      </w:r>
      <w:r>
        <w:rPr>
          <w:rFonts w:hint="eastAsia" w:ascii="微软雅黑" w:hAnsi="微软雅黑" w:eastAsia="微软雅黑" w:cs="微软雅黑"/>
          <w:szCs w:val="21"/>
          <w:lang w:val="en-US" w:bidi="zh-CN"/>
        </w:rPr>
        <w:t>在邓池沟亲身感受百年天主教堂，近距离感觉</w:t>
      </w:r>
      <w:r>
        <w:rPr>
          <w:rFonts w:hint="default" w:ascii="微软雅黑" w:hAnsi="微软雅黑" w:eastAsia="微软雅黑" w:cs="微软雅黑"/>
          <w:szCs w:val="21"/>
          <w:lang w:val="en-US" w:bidi="zh-CN"/>
        </w:rPr>
        <w:t>”</w:t>
      </w:r>
      <w:r>
        <w:rPr>
          <w:rFonts w:hint="eastAsia" w:ascii="微软雅黑" w:hAnsi="微软雅黑" w:eastAsia="微软雅黑" w:cs="微软雅黑"/>
          <w:szCs w:val="21"/>
          <w:lang w:val="en-US" w:bidi="zh-CN"/>
        </w:rPr>
        <w:t>萌宝‘’大熊猫的国宝养成之路。随后出发至</w:t>
      </w:r>
      <w:r>
        <w:rPr>
          <w:rFonts w:hint="eastAsia" w:ascii="微软雅黑" w:hAnsi="微软雅黑" w:eastAsia="微软雅黑" w:cs="微软雅黑"/>
          <w:szCs w:val="21"/>
          <w:lang w:val="zh-CN" w:bidi="zh-CN"/>
        </w:rPr>
        <w:t>硗碛湖，车观硗碛湖，抵达神木垒景区后乘坐原车摆渡进入景区</w:t>
      </w:r>
      <w:r>
        <w:rPr>
          <w:rFonts w:hint="eastAsia" w:ascii="微软雅黑" w:hAnsi="微软雅黑" w:eastAsia="微软雅黑" w:cs="微软雅黑"/>
          <w:szCs w:val="21"/>
        </w:rPr>
        <w:t>，</w:t>
      </w:r>
      <w:r>
        <w:rPr>
          <w:rFonts w:hint="eastAsia" w:ascii="微软雅黑" w:hAnsi="微软雅黑" w:eastAsia="微软雅黑" w:cs="微软雅黑"/>
          <w:szCs w:val="21"/>
          <w:lang w:val="zh-CN" w:bidi="zh-CN"/>
        </w:rPr>
        <w:t>轻户外漫步天然氧吧神木垒，呼吸大自然新鲜空气</w:t>
      </w:r>
      <w:r>
        <w:rPr>
          <w:rFonts w:hint="eastAsia" w:ascii="微软雅黑" w:hAnsi="微软雅黑" w:eastAsia="微软雅黑" w:cs="微软雅黑"/>
          <w:szCs w:val="21"/>
        </w:rPr>
        <w:t>，用双眼留下不灭的回忆，之后返回酒店享用</w:t>
      </w:r>
      <w:r>
        <w:rPr>
          <w:rFonts w:hint="eastAsia" w:ascii="微软雅黑" w:hAnsi="微软雅黑" w:eastAsia="微软雅黑" w:cs="微软雅黑"/>
          <w:szCs w:val="21"/>
          <w:lang w:eastAsia="zh-CN"/>
        </w:rPr>
        <w:t>酒店赠送的</w:t>
      </w:r>
      <w:r>
        <w:rPr>
          <w:rFonts w:hint="eastAsia" w:ascii="微软雅黑" w:hAnsi="微软雅黑" w:eastAsia="微软雅黑" w:cs="微软雅黑"/>
          <w:szCs w:val="21"/>
        </w:rPr>
        <w:t>晚餐</w:t>
      </w:r>
      <w:r>
        <w:rPr>
          <w:rFonts w:hint="eastAsia" w:ascii="微软雅黑" w:hAnsi="微软雅黑" w:eastAsia="微软雅黑" w:cs="微软雅黑"/>
          <w:szCs w:val="21"/>
          <w:lang w:eastAsia="zh-CN"/>
        </w:rPr>
        <w:t>，藏区条件有限，请勿用城市标准衡量，赠送项目</w:t>
      </w:r>
      <w:r>
        <w:rPr>
          <w:rFonts w:hint="eastAsia" w:ascii="微软雅黑" w:hAnsi="微软雅黑" w:eastAsia="微软雅黑" w:cs="微软雅黑"/>
          <w:szCs w:val="21"/>
          <w:lang w:val="en-US" w:eastAsia="zh-CN"/>
        </w:rPr>
        <w:t>不吃不退。</w:t>
      </w:r>
    </w:p>
    <w:p>
      <w:pPr>
        <w:keepNext w:val="0"/>
        <w:keepLines w:val="0"/>
        <w:pageBreakBefore w:val="0"/>
        <w:kinsoku/>
        <w:wordWrap/>
        <w:overflowPunct/>
        <w:topLinePunct w:val="0"/>
        <w:autoSpaceDE w:val="0"/>
        <w:autoSpaceDN w:val="0"/>
        <w:bidi w:val="0"/>
        <w:spacing w:line="360" w:lineRule="auto"/>
        <w:jc w:val="center"/>
        <w:textAlignment w:val="auto"/>
        <w:rPr>
          <w:rFonts w:hint="eastAsia" w:ascii="微软雅黑" w:hAnsi="微软雅黑" w:eastAsia="微软雅黑" w:cs="微软雅黑"/>
          <w:b/>
          <w:bCs/>
          <w:color w:val="FF0000"/>
          <w:szCs w:val="21"/>
          <w:lang w:val="zh-CN" w:bidi="zh-CN"/>
        </w:rPr>
      </w:pPr>
    </w:p>
    <w:p>
      <w:pPr>
        <w:keepNext w:val="0"/>
        <w:keepLines w:val="0"/>
        <w:pageBreakBefore w:val="0"/>
        <w:kinsoku/>
        <w:wordWrap/>
        <w:overflowPunct/>
        <w:topLinePunct w:val="0"/>
        <w:autoSpaceDE w:val="0"/>
        <w:autoSpaceDN w:val="0"/>
        <w:bidi w:val="0"/>
        <w:spacing w:line="360" w:lineRule="auto"/>
        <w:jc w:val="center"/>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bCs/>
          <w:color w:val="FF0000"/>
          <w:szCs w:val="21"/>
          <w:lang w:val="zh-CN" w:bidi="zh-CN"/>
        </w:rPr>
        <w:t>【升级住达瓦更扎景区山顶星空酒店，赏日落】</w:t>
      </w:r>
    </w:p>
    <w:p>
      <w:pPr>
        <w:keepNext w:val="0"/>
        <w:keepLines w:val="0"/>
        <w:pageBreakBefore w:val="0"/>
        <w:kinsoku/>
        <w:wordWrap/>
        <w:overflowPunct/>
        <w:topLinePunct w:val="0"/>
        <w:autoSpaceDE w:val="0"/>
        <w:autoSpaceDN w:val="0"/>
        <w:bidi w:val="0"/>
        <w:spacing w:line="360" w:lineRule="auto"/>
        <w:textAlignment w:val="auto"/>
        <w:rPr>
          <w:rFonts w:hint="default" w:ascii="微软雅黑" w:hAnsi="微软雅黑" w:eastAsia="微软雅黑" w:cs="微软雅黑"/>
          <w:szCs w:val="21"/>
          <w:lang w:val="en-US" w:bidi="zh-CN"/>
        </w:rPr>
      </w:pPr>
      <w:r>
        <w:rPr>
          <w:rFonts w:hint="eastAsia" w:ascii="微软雅黑" w:hAnsi="微软雅黑" w:eastAsia="微软雅黑" w:cs="微软雅黑"/>
          <w:szCs w:val="21"/>
          <w:lang w:val="zh-CN" w:bidi="zh-CN"/>
        </w:rPr>
        <w:t>可选择第一天升级入住达瓦更扎景区山顶星雲星空帐篷酒店（海拔</w:t>
      </w:r>
      <w:r>
        <w:rPr>
          <w:rFonts w:hint="eastAsia" w:ascii="微软雅黑" w:hAnsi="微软雅黑" w:eastAsia="微软雅黑" w:cs="微软雅黑"/>
          <w:szCs w:val="21"/>
          <w:lang w:val="en-US" w:bidi="zh-CN"/>
        </w:rPr>
        <w:t>3500米</w:t>
      </w:r>
      <w:r>
        <w:rPr>
          <w:rFonts w:hint="eastAsia" w:ascii="微软雅黑" w:hAnsi="微软雅黑" w:eastAsia="微软雅黑" w:cs="微软雅黑"/>
          <w:szCs w:val="21"/>
          <w:lang w:val="zh-CN" w:bidi="zh-CN"/>
        </w:rPr>
        <w:t>），可观日落。由于酒店位于云层之上，晚上可赏星空，早上不用早起排队进景区。区别于常规团</w:t>
      </w:r>
      <w:r>
        <w:rPr>
          <w:rFonts w:hint="eastAsia" w:ascii="微软雅黑" w:hAnsi="微软雅黑" w:eastAsia="微软雅黑" w:cs="微软雅黑"/>
          <w:szCs w:val="21"/>
          <w:lang w:val="en-US" w:bidi="zh-CN"/>
        </w:rPr>
        <w:t>3-4小时游览景区，</w:t>
      </w:r>
      <w:r>
        <w:rPr>
          <w:rFonts w:hint="eastAsia" w:ascii="微软雅黑" w:hAnsi="微软雅黑" w:eastAsia="微软雅黑" w:cs="微软雅黑"/>
          <w:b/>
          <w:bCs/>
          <w:color w:val="FF0000"/>
          <w:szCs w:val="21"/>
          <w:lang w:val="en-US" w:bidi="zh-CN"/>
        </w:rPr>
        <w:t>住山顶，可在景区漫游超过15小时，更高几率看云海，晚上看日落，起床看日出</w:t>
      </w:r>
      <w:r>
        <w:rPr>
          <w:rFonts w:hint="eastAsia" w:ascii="微软雅黑" w:hAnsi="微软雅黑" w:eastAsia="微软雅黑" w:cs="微软雅黑"/>
          <w:szCs w:val="21"/>
          <w:lang w:val="en-US" w:bidi="zh-CN"/>
        </w:rPr>
        <w:t>。山顶星雲帐篷酒店仅仅20个房，务必提前询位预订，团上升级+260元/人。选择入住景区的游客，在第一游玩神木林景区后乘坐当地摆渡车自行前往，山上有我社工作人员驻扎，单独为山上游客提供服务，第二天在导游通知时间内下山，乘坐旅游车返回。</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drawing>
          <wp:inline distT="0" distB="0" distL="114300" distR="114300">
            <wp:extent cx="2463800" cy="1936750"/>
            <wp:effectExtent l="0" t="0" r="12700" b="6350"/>
            <wp:docPr id="5" name="图片 5" descr="77cb394cd2cbf53ef636881829cf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cb394cd2cbf53ef636881829cfe70"/>
                    <pic:cNvPicPr>
                      <a:picLocks noChangeAspect="1"/>
                    </pic:cNvPicPr>
                  </pic:nvPicPr>
                  <pic:blipFill>
                    <a:blip r:embed="rId10"/>
                    <a:stretch>
                      <a:fillRect/>
                    </a:stretch>
                  </pic:blipFill>
                  <pic:spPr>
                    <a:xfrm>
                      <a:off x="0" y="0"/>
                      <a:ext cx="2463800" cy="1936750"/>
                    </a:xfrm>
                    <a:prstGeom prst="rect">
                      <a:avLst/>
                    </a:prstGeom>
                  </pic:spPr>
                </pic:pic>
              </a:graphicData>
            </a:graphic>
          </wp:inline>
        </w:drawing>
      </w:r>
      <w:r>
        <w:rPr>
          <w:rFonts w:hint="eastAsia" w:ascii="微软雅黑" w:hAnsi="微软雅黑" w:eastAsia="微软雅黑" w:cs="微软雅黑"/>
          <w:szCs w:val="21"/>
          <w:lang w:val="zh-CN" w:bidi="zh-CN"/>
        </w:rPr>
        <w:drawing>
          <wp:inline distT="0" distB="0" distL="114300" distR="114300">
            <wp:extent cx="2680970" cy="1931035"/>
            <wp:effectExtent l="0" t="0" r="5080" b="12065"/>
            <wp:docPr id="7" name="图片 7" descr="f8e40c4af773d4cbd90a333e9d85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8e40c4af773d4cbd90a333e9d855cd"/>
                    <pic:cNvPicPr>
                      <a:picLocks noChangeAspect="1"/>
                    </pic:cNvPicPr>
                  </pic:nvPicPr>
                  <pic:blipFill>
                    <a:blip r:embed="rId11"/>
                    <a:stretch>
                      <a:fillRect/>
                    </a:stretch>
                  </pic:blipFill>
                  <pic:spPr>
                    <a:xfrm>
                      <a:off x="0" y="0"/>
                      <a:ext cx="2680970" cy="1931035"/>
                    </a:xfrm>
                    <a:prstGeom prst="rect">
                      <a:avLst/>
                    </a:prstGeom>
                  </pic:spPr>
                </pic:pic>
              </a:graphicData>
            </a:graphic>
          </wp:inline>
        </w:drawing>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【旅拍套餐】</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达瓦更扎云海旅拍简修3张+50元/人（提前预订+30元/人，在报名时支付），达瓦更扎旅拍点未开时改为神木垒旅拍</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【微笑提示】</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因当地条件有限，均不提供一次性洗漱用品，请自备；</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b/>
          <w:color w:val="FF0000"/>
          <w:szCs w:val="21"/>
          <w:lang w:bidi="zh-CN"/>
        </w:rPr>
      </w:pPr>
      <w:r>
        <w:rPr>
          <w:rFonts w:hint="eastAsia" w:ascii="微软雅黑" w:hAnsi="微软雅黑" w:eastAsia="微软雅黑" w:cs="微软雅黑"/>
          <w:b/>
          <w:color w:val="FF0000"/>
          <w:szCs w:val="21"/>
          <w:lang w:bidi="zh-CN"/>
        </w:rPr>
        <w:t>自费宝兴至硗碛藏寨区间车费50元/人（雨季宝兴到硗碛藏寨可能会交通管制，本线路车费未核算此段路程车费，如遇交通管制，自费50元，换乘当地车辆进入；若未交通管制，则原车前往，车上补齐50元区间车费，必须消费，可提前包含）</w:t>
      </w:r>
    </w:p>
    <w:p>
      <w:pPr>
        <w:keepNext w:val="0"/>
        <w:keepLines w:val="0"/>
        <w:pageBreakBefore w:val="0"/>
        <w:widowControl/>
        <w:kinsoku/>
        <w:wordWrap/>
        <w:overflowPunct/>
        <w:topLinePunct w:val="0"/>
        <w:bidi w:val="0"/>
        <w:spacing w:line="36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2554605" cy="1772285"/>
            <wp:effectExtent l="0" t="0" r="17145" b="18415"/>
            <wp:docPr id="10" name="图片 10" descr="1572333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2333348(1)"/>
                    <pic:cNvPicPr>
                      <a:picLocks noChangeAspect="1"/>
                    </pic:cNvPicPr>
                  </pic:nvPicPr>
                  <pic:blipFill>
                    <a:blip r:embed="rId12"/>
                    <a:stretch>
                      <a:fillRect/>
                    </a:stretch>
                  </pic:blipFill>
                  <pic:spPr>
                    <a:xfrm>
                      <a:off x="0" y="0"/>
                      <a:ext cx="2554605" cy="1772285"/>
                    </a:xfrm>
                    <a:prstGeom prst="rect">
                      <a:avLst/>
                    </a:prstGeom>
                  </pic:spPr>
                </pic:pic>
              </a:graphicData>
            </a:graphic>
          </wp:inline>
        </w:drawing>
      </w:r>
      <w:r>
        <w:rPr>
          <w:rFonts w:hint="eastAsia" w:ascii="微软雅黑" w:hAnsi="微软雅黑" w:eastAsia="微软雅黑" w:cs="微软雅黑"/>
          <w:szCs w:val="21"/>
        </w:rPr>
        <w:drawing>
          <wp:inline distT="0" distB="0" distL="114300" distR="114300">
            <wp:extent cx="2500630" cy="1773555"/>
            <wp:effectExtent l="0" t="0" r="13970" b="17145"/>
            <wp:docPr id="11" name="图片 11" descr="1572333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72333420(1)"/>
                    <pic:cNvPicPr>
                      <a:picLocks noChangeAspect="1"/>
                    </pic:cNvPicPr>
                  </pic:nvPicPr>
                  <pic:blipFill>
                    <a:blip r:embed="rId13"/>
                    <a:stretch>
                      <a:fillRect/>
                    </a:stretch>
                  </pic:blipFill>
                  <pic:spPr>
                    <a:xfrm>
                      <a:off x="0" y="0"/>
                      <a:ext cx="2500630" cy="1773555"/>
                    </a:xfrm>
                    <a:prstGeom prst="rect">
                      <a:avLst/>
                    </a:prstGeom>
                  </pic:spPr>
                </pic:pic>
              </a:graphicData>
            </a:graphic>
          </wp:inline>
        </w:drawing>
      </w:r>
    </w:p>
    <w:p>
      <w:pPr>
        <w:keepNext w:val="0"/>
        <w:keepLines w:val="0"/>
        <w:pageBreakBefore w:val="0"/>
        <w:kinsoku/>
        <w:wordWrap/>
        <w:overflowPunct/>
        <w:topLinePunct w:val="0"/>
        <w:bidi w:val="0"/>
        <w:spacing w:line="360" w:lineRule="auto"/>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D2：达瓦更扎-宝兴县-雅安-成都</w:t>
      </w:r>
      <w:r>
        <w:rPr>
          <w:rFonts w:hint="eastAsia" w:ascii="微软雅黑" w:hAnsi="微软雅黑" w:eastAsia="微软雅黑" w:cs="微软雅黑"/>
          <w:b/>
          <w:bCs/>
          <w:szCs w:val="21"/>
          <w:lang w:eastAsia="zh-CN"/>
        </w:rPr>
        <w:t>（</w:t>
      </w:r>
      <w:r>
        <w:rPr>
          <w:rFonts w:hint="eastAsia" w:ascii="微软雅黑" w:hAnsi="微软雅黑" w:eastAsia="微软雅黑" w:cs="微软雅黑"/>
          <w:b/>
          <w:bCs/>
          <w:szCs w:val="21"/>
        </w:rPr>
        <w:t>车程约5小时</w:t>
      </w:r>
      <w:r>
        <w:rPr>
          <w:rFonts w:hint="eastAsia" w:ascii="微软雅黑" w:hAnsi="微软雅黑" w:eastAsia="微软雅黑" w:cs="微软雅黑"/>
          <w:b/>
          <w:bCs/>
          <w:szCs w:val="21"/>
          <w:lang w:eastAsia="zh-CN"/>
        </w:rPr>
        <w:t>）</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szCs w:val="21"/>
          <w:lang w:val="en-US" w:bidi="zh-CN"/>
        </w:rPr>
      </w:pPr>
      <w:r>
        <w:rPr>
          <w:rFonts w:hint="eastAsia" w:ascii="微软雅黑" w:hAnsi="微软雅黑" w:eastAsia="微软雅黑" w:cs="微软雅黑"/>
          <w:szCs w:val="21"/>
          <w:lang w:val="zh-CN" w:bidi="zh-CN"/>
        </w:rPr>
        <w:t>早上</w:t>
      </w:r>
      <w:r>
        <w:rPr>
          <w:rFonts w:hint="eastAsia" w:ascii="微软雅黑" w:hAnsi="微软雅黑" w:eastAsia="微软雅黑" w:cs="微软雅黑"/>
          <w:szCs w:val="21"/>
          <w:lang w:bidi="zh-CN"/>
        </w:rPr>
        <w:t>4-5</w:t>
      </w:r>
      <w:r>
        <w:rPr>
          <w:rFonts w:hint="eastAsia" w:ascii="微软雅黑" w:hAnsi="微软雅黑" w:eastAsia="微软雅黑" w:cs="微软雅黑"/>
          <w:szCs w:val="21"/>
          <w:lang w:val="zh-CN" w:bidi="zh-CN"/>
        </w:rPr>
        <w:t>点左右出发（以导游通知为准，节假日或流量高峰期根据景区门票时间提前），从住宿点乘坐旅游大巴前往达瓦根扎景区门口，随后排队进入景区</w:t>
      </w:r>
      <w:r>
        <w:rPr>
          <w:rFonts w:hint="eastAsia" w:ascii="微软雅黑" w:hAnsi="微软雅黑" w:eastAsia="微软雅黑" w:cs="微软雅黑"/>
          <w:b/>
          <w:bCs/>
          <w:color w:val="FF0000"/>
          <w:szCs w:val="21"/>
          <w:lang w:val="zh-CN" w:bidi="zh-CN"/>
        </w:rPr>
        <w:t>（不含</w:t>
      </w:r>
      <w:r>
        <w:rPr>
          <w:rFonts w:hint="eastAsia" w:ascii="微软雅黑" w:hAnsi="微软雅黑" w:eastAsia="微软雅黑" w:cs="微软雅黑"/>
          <w:b/>
          <w:bCs/>
          <w:color w:val="FF0000"/>
          <w:szCs w:val="21"/>
          <w:lang w:val="en-US" w:bidi="zh-CN"/>
        </w:rPr>
        <w:t>门票60元/人，</w:t>
      </w:r>
      <w:r>
        <w:rPr>
          <w:rFonts w:hint="eastAsia" w:ascii="微软雅黑" w:hAnsi="微软雅黑" w:eastAsia="微软雅黑" w:cs="微软雅黑"/>
          <w:b/>
          <w:bCs/>
          <w:color w:val="FF0000"/>
          <w:szCs w:val="21"/>
          <w:lang w:val="zh-CN" w:bidi="zh-CN"/>
        </w:rPr>
        <w:t>观光车</w:t>
      </w:r>
      <w:r>
        <w:rPr>
          <w:rFonts w:hint="eastAsia" w:ascii="微软雅黑" w:hAnsi="微软雅黑" w:eastAsia="微软雅黑" w:cs="微软雅黑"/>
          <w:b/>
          <w:bCs/>
          <w:color w:val="FF0000"/>
          <w:szCs w:val="21"/>
          <w:lang w:bidi="zh-CN"/>
        </w:rPr>
        <w:t>80元/人，</w:t>
      </w:r>
      <w:r>
        <w:rPr>
          <w:rFonts w:hint="eastAsia" w:ascii="微软雅黑" w:hAnsi="微软雅黑" w:eastAsia="微软雅黑" w:cs="微软雅黑"/>
          <w:b/>
          <w:bCs/>
          <w:color w:val="FF0000"/>
          <w:szCs w:val="21"/>
          <w:lang w:val="zh-CN" w:bidi="zh-CN"/>
        </w:rPr>
        <w:t>必须消费）</w:t>
      </w:r>
      <w:r>
        <w:rPr>
          <w:rFonts w:hint="eastAsia" w:ascii="微软雅黑" w:hAnsi="微软雅黑" w:eastAsia="微软雅黑" w:cs="微软雅黑"/>
          <w:szCs w:val="21"/>
          <w:lang w:val="zh-CN" w:bidi="zh-CN"/>
        </w:rPr>
        <w:t>，前往山顶看日出云海，同时欣赏星空下的通天路，后坐车返回景区门口（注意：为了团队的时间可控，请大家控制拍照及游览时间，下山时自行乘坐观光车到达景区门口）之后享用</w:t>
      </w:r>
      <w:r>
        <w:rPr>
          <w:rFonts w:hint="eastAsia" w:ascii="微软雅黑" w:hAnsi="微软雅黑" w:eastAsia="微软雅黑" w:cs="微软雅黑"/>
          <w:b/>
          <w:bCs/>
          <w:color w:val="FF0000"/>
          <w:szCs w:val="21"/>
        </w:rPr>
        <w:t>午餐</w:t>
      </w:r>
      <w:r>
        <w:rPr>
          <w:rFonts w:hint="eastAsia" w:ascii="微软雅黑" w:hAnsi="微软雅黑" w:eastAsia="微软雅黑" w:cs="微软雅黑"/>
          <w:b/>
          <w:bCs/>
          <w:color w:val="FF0000"/>
          <w:szCs w:val="21"/>
          <w:lang w:val="zh-CN" w:bidi="zh-CN"/>
        </w:rPr>
        <w:t>（费用不含，自费</w:t>
      </w:r>
      <w:r>
        <w:rPr>
          <w:rFonts w:hint="eastAsia" w:ascii="微软雅黑" w:hAnsi="微软雅黑" w:eastAsia="微软雅黑" w:cs="微软雅黑"/>
          <w:b/>
          <w:bCs/>
          <w:color w:val="FF0000"/>
          <w:szCs w:val="21"/>
          <w:lang w:bidi="zh-CN"/>
        </w:rPr>
        <w:t>30元/人）</w:t>
      </w:r>
      <w:r>
        <w:rPr>
          <w:rFonts w:hint="eastAsia" w:ascii="微软雅黑" w:hAnsi="微软雅黑" w:eastAsia="微软雅黑" w:cs="微软雅黑"/>
          <w:color w:val="FF0000"/>
          <w:szCs w:val="21"/>
          <w:lang w:bidi="zh-CN"/>
        </w:rPr>
        <w:t>，</w:t>
      </w:r>
      <w:r>
        <w:rPr>
          <w:rFonts w:hint="eastAsia" w:ascii="微软雅黑" w:hAnsi="微软雅黑" w:eastAsia="微软雅黑" w:cs="微软雅黑"/>
          <w:szCs w:val="21"/>
          <w:lang w:val="zh-CN" w:bidi="zh-CN"/>
        </w:rPr>
        <w:t>后经雅安返回出发城市统一散团，结束愉快的</w:t>
      </w:r>
      <w:r>
        <w:rPr>
          <w:rFonts w:hint="eastAsia" w:ascii="微软雅黑" w:hAnsi="微软雅黑" w:eastAsia="微软雅黑" w:cs="微软雅黑"/>
          <w:szCs w:val="21"/>
          <w:lang w:bidi="zh-CN"/>
        </w:rPr>
        <w:t>2天之旅！成都直通车及</w:t>
      </w:r>
      <w:r>
        <w:rPr>
          <w:rFonts w:hint="eastAsia" w:ascii="微软雅黑" w:hAnsi="微软雅黑" w:eastAsia="微软雅黑" w:cs="微软雅黑"/>
          <w:szCs w:val="21"/>
          <w:lang w:val="en-US" w:bidi="zh-CN"/>
        </w:rPr>
        <w:t>高校直通车统一在太平园地铁站或成都西站地铁站散团</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【微笑提示】散团地址：具体导游通知为准</w:t>
      </w:r>
      <w:r>
        <w:rPr>
          <w:rFonts w:hint="eastAsia" w:ascii="微软雅黑" w:hAnsi="微软雅黑" w:eastAsia="微软雅黑" w:cs="微软雅黑"/>
          <w:bCs/>
          <w:kern w:val="0"/>
          <w:szCs w:val="21"/>
          <w:lang w:eastAsia="zh-CN"/>
        </w:rPr>
        <w:t>。成都散团地点不一定是集合地点，提前确认</w:t>
      </w:r>
    </w:p>
    <w:p>
      <w:pPr>
        <w:keepNext w:val="0"/>
        <w:keepLines w:val="0"/>
        <w:pageBreakBefore w:val="0"/>
        <w:kinsoku/>
        <w:wordWrap/>
        <w:overflowPunct/>
        <w:topLinePunct w:val="0"/>
        <w:bidi w:val="0"/>
        <w:spacing w:line="360" w:lineRule="auto"/>
        <w:jc w:val="left"/>
        <w:textAlignment w:val="auto"/>
        <w:rPr>
          <w:rFonts w:hint="eastAsia" w:ascii="微软雅黑" w:hAnsi="微软雅黑" w:eastAsia="微软雅黑" w:cs="微软雅黑"/>
          <w:bCs/>
          <w:color w:val="000000"/>
          <w:szCs w:val="21"/>
          <w:lang w:val="zh-CN" w:bidi="zh-CN"/>
        </w:rPr>
      </w:pPr>
      <w:r>
        <w:rPr>
          <w:rFonts w:hint="eastAsia" w:ascii="微软雅黑" w:hAnsi="微软雅黑" w:eastAsia="微软雅黑" w:cs="微软雅黑"/>
          <w:color w:val="FF0000"/>
          <w:szCs w:val="21"/>
        </w:rPr>
        <w:t>【特别提醒】因达瓦更扎属于高原景区，如因景区道路积雪太深，观光车上不去，或因景区道路阻塞或者塌方等非人为因素，导致景区临时关闭，我社将有权取消达瓦更扎景区的游览，退还达瓦更扎景区门票观光车，其他费用不予退还。</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bCs/>
          <w:color w:val="FF0000"/>
          <w:szCs w:val="21"/>
          <w:lang w:bidi="zh-CN"/>
        </w:rPr>
      </w:pPr>
      <w:r>
        <w:rPr>
          <w:rFonts w:hint="eastAsia" w:ascii="微软雅黑" w:hAnsi="微软雅黑" w:eastAsia="微软雅黑" w:cs="微软雅黑"/>
          <w:bCs/>
          <w:color w:val="000000"/>
          <w:szCs w:val="21"/>
        </w:rPr>
        <w:drawing>
          <wp:inline distT="0" distB="0" distL="114300" distR="114300">
            <wp:extent cx="2640965" cy="1740535"/>
            <wp:effectExtent l="0" t="0" r="6985" b="12065"/>
            <wp:docPr id="13" name="图片 13" descr="157233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72333889(1)"/>
                    <pic:cNvPicPr>
                      <a:picLocks noChangeAspect="1"/>
                    </pic:cNvPicPr>
                  </pic:nvPicPr>
                  <pic:blipFill>
                    <a:blip r:embed="rId14"/>
                    <a:stretch>
                      <a:fillRect/>
                    </a:stretch>
                  </pic:blipFill>
                  <pic:spPr>
                    <a:xfrm>
                      <a:off x="0" y="0"/>
                      <a:ext cx="2640965" cy="1740535"/>
                    </a:xfrm>
                    <a:prstGeom prst="rect">
                      <a:avLst/>
                    </a:prstGeom>
                  </pic:spPr>
                </pic:pic>
              </a:graphicData>
            </a:graphic>
          </wp:inline>
        </w:drawing>
      </w:r>
      <w:r>
        <w:rPr>
          <w:rFonts w:hint="eastAsia" w:ascii="微软雅黑" w:hAnsi="微软雅黑" w:eastAsia="微软雅黑" w:cs="微软雅黑"/>
          <w:bCs/>
          <w:color w:val="000000"/>
          <w:szCs w:val="21"/>
        </w:rPr>
        <w:drawing>
          <wp:inline distT="0" distB="0" distL="114300" distR="114300">
            <wp:extent cx="2579370" cy="1737360"/>
            <wp:effectExtent l="0" t="0" r="11430" b="15240"/>
            <wp:docPr id="12" name="图片 12" descr="157233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72333818(1)"/>
                    <pic:cNvPicPr>
                      <a:picLocks noChangeAspect="1"/>
                    </pic:cNvPicPr>
                  </pic:nvPicPr>
                  <pic:blipFill>
                    <a:blip r:embed="rId15"/>
                    <a:stretch>
                      <a:fillRect/>
                    </a:stretch>
                  </pic:blipFill>
                  <pic:spPr>
                    <a:xfrm>
                      <a:off x="0" y="0"/>
                      <a:ext cx="2579370" cy="1737360"/>
                    </a:xfrm>
                    <a:prstGeom prst="rect">
                      <a:avLst/>
                    </a:prstGeom>
                  </pic:spPr>
                </pic:pic>
              </a:graphicData>
            </a:graphic>
          </wp:inline>
        </w:drawing>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b/>
          <w:bCs/>
          <w:color w:val="FF0000"/>
          <w:sz w:val="21"/>
          <w:szCs w:val="21"/>
        </w:rPr>
      </w:pP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b/>
          <w:bCs/>
          <w:color w:val="FF0000"/>
          <w:sz w:val="21"/>
          <w:szCs w:val="21"/>
        </w:rPr>
      </w:pP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【费用包含】</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1用车：全程正规旅游车，一人一座；</w:t>
      </w:r>
      <w:r>
        <w:rPr>
          <w:rFonts w:hint="eastAsia" w:ascii="微软雅黑" w:hAnsi="微软雅黑" w:eastAsia="微软雅黑" w:cs="微软雅黑"/>
          <w:sz w:val="21"/>
          <w:szCs w:val="21"/>
        </w:rPr>
        <w:cr/>
      </w:r>
      <w:r>
        <w:rPr>
          <w:rFonts w:hint="eastAsia" w:ascii="微软雅黑" w:hAnsi="微软雅黑" w:eastAsia="微软雅黑" w:cs="微软雅黑"/>
          <w:sz w:val="21"/>
          <w:szCs w:val="21"/>
        </w:rPr>
        <w:t>2住宿：跷碛乡民宿标间(保证一人一床</w:t>
      </w:r>
      <w:r>
        <w:rPr>
          <w:rFonts w:hint="eastAsia" w:ascii="微软雅黑" w:hAnsi="微软雅黑" w:eastAsia="微软雅黑" w:cs="微软雅黑"/>
          <w:sz w:val="21"/>
          <w:szCs w:val="21"/>
          <w:lang w:eastAsia="zh-CN"/>
        </w:rPr>
        <w:t>，保证拼房，若需一人一间，房差自理</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cr/>
      </w:r>
      <w:r>
        <w:rPr>
          <w:rFonts w:hint="eastAsia" w:ascii="微软雅黑" w:hAnsi="微软雅黑" w:eastAsia="微软雅黑" w:cs="微软雅黑"/>
          <w:sz w:val="21"/>
          <w:szCs w:val="21"/>
        </w:rPr>
        <w:t>3导游：15人以下司机兼导游，16人以上持证导游；</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4用餐：含早晚餐（晚餐：品尝特色藏式土火锅）；</w:t>
      </w:r>
      <w:r>
        <w:rPr>
          <w:rFonts w:hint="eastAsia" w:ascii="微软雅黑" w:hAnsi="微软雅黑" w:eastAsia="微软雅黑" w:cs="微软雅黑"/>
          <w:sz w:val="21"/>
          <w:szCs w:val="21"/>
        </w:rPr>
        <w:cr/>
      </w:r>
      <w:r>
        <w:rPr>
          <w:rFonts w:hint="eastAsia" w:ascii="微软雅黑" w:hAnsi="微软雅黑" w:eastAsia="微软雅黑" w:cs="微软雅黑"/>
          <w:sz w:val="21"/>
          <w:szCs w:val="21"/>
        </w:rPr>
        <w:t>5门票：</w:t>
      </w:r>
      <w:r>
        <w:rPr>
          <w:rFonts w:hint="eastAsia" w:ascii="微软雅黑" w:hAnsi="微软雅黑" w:eastAsia="微软雅黑" w:cs="微软雅黑"/>
          <w:sz w:val="21"/>
          <w:szCs w:val="21"/>
          <w:lang w:val="en-US" w:eastAsia="zh-CN"/>
        </w:rPr>
        <w:t>邓池沟、</w:t>
      </w:r>
      <w:r>
        <w:rPr>
          <w:rFonts w:hint="eastAsia" w:ascii="微软雅黑" w:hAnsi="微软雅黑" w:eastAsia="微软雅黑" w:cs="微软雅黑"/>
          <w:sz w:val="21"/>
          <w:szCs w:val="21"/>
          <w:lang w:eastAsia="zh-CN"/>
        </w:rPr>
        <w:t>神木垒景区门票</w:t>
      </w:r>
    </w:p>
    <w:p>
      <w:pPr>
        <w:keepNext w:val="0"/>
        <w:keepLines w:val="0"/>
        <w:pageBreakBefore w:val="0"/>
        <w:kinsoku/>
        <w:wordWrap/>
        <w:overflowPunct/>
        <w:topLinePunct w:val="0"/>
        <w:bidi w:val="0"/>
        <w:spacing w:line="360" w:lineRule="auto"/>
        <w:textAlignment w:val="auto"/>
        <w:rPr>
          <w:rFonts w:hint="eastAsia" w:ascii="微软雅黑" w:hAnsi="微软雅黑" w:eastAsia="微软雅黑" w:cs="微软雅黑"/>
          <w:color w:val="C00000"/>
          <w:szCs w:val="21"/>
        </w:rPr>
      </w:pPr>
      <w:r>
        <w:rPr>
          <w:rFonts w:hint="eastAsia" w:ascii="微软雅黑" w:hAnsi="微软雅黑" w:eastAsia="微软雅黑" w:cs="微软雅黑"/>
          <w:szCs w:val="21"/>
        </w:rPr>
        <w:t>6保险：旅游意外险，旅游车座位险。</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【费用不含】</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1餐食：2天午餐60元/人（自愿消费）；达瓦更扎旅拍套餐50元/人（自愿消费）。</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2自费：达瓦更扎</w:t>
      </w:r>
      <w:r>
        <w:rPr>
          <w:rFonts w:hint="eastAsia" w:ascii="微软雅黑" w:hAnsi="微软雅黑" w:eastAsia="微软雅黑" w:cs="微软雅黑"/>
          <w:sz w:val="21"/>
          <w:szCs w:val="21"/>
          <w:lang w:val="en-US" w:eastAsia="zh-CN"/>
        </w:rPr>
        <w:t>门票60元/人，</w:t>
      </w:r>
      <w:r>
        <w:rPr>
          <w:rFonts w:hint="eastAsia" w:ascii="微软雅黑" w:hAnsi="微软雅黑" w:eastAsia="微软雅黑" w:cs="微软雅黑"/>
          <w:sz w:val="21"/>
          <w:szCs w:val="21"/>
        </w:rPr>
        <w:t>观光车80元/人（必须消费）；</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3宝兴至硗碛藏寨区间车费50元/人（必须消费）；</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【参考酒店】</w:t>
      </w:r>
      <w:bookmarkStart w:id="1" w:name="_GoBack"/>
      <w:bookmarkEnd w:id="1"/>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民宿：亚西拉姆，泽朗扎西，卡卡瓦，格桑拉姆，松林，德拉美洛等同级</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舒适：龙神、彭吉等同级</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豪华：鸿山鼎等同级（无地暖）</w:t>
      </w:r>
    </w:p>
    <w:p>
      <w:pPr>
        <w:keepNext w:val="0"/>
        <w:keepLines w:val="0"/>
        <w:pageBreakBefore w:val="0"/>
        <w:kinsoku/>
        <w:wordWrap/>
        <w:overflowPunct/>
        <w:topLinePunct w:val="0"/>
        <w:autoSpaceDE w:val="0"/>
        <w:autoSpaceDN w:val="0"/>
        <w:bidi w:val="0"/>
        <w:spacing w:line="360" w:lineRule="auto"/>
        <w:textAlignment w:val="auto"/>
        <w:rPr>
          <w:rFonts w:hint="eastAsia" w:ascii="微软雅黑" w:hAnsi="微软雅黑" w:eastAsia="微软雅黑" w:cs="微软雅黑"/>
          <w:szCs w:val="21"/>
          <w:lang w:val="zh-CN" w:bidi="zh-CN"/>
        </w:rPr>
      </w:pPr>
      <w:r>
        <w:rPr>
          <w:rFonts w:hint="eastAsia" w:ascii="微软雅黑" w:hAnsi="微软雅黑" w:eastAsia="微软雅黑" w:cs="微软雅黑"/>
          <w:szCs w:val="21"/>
          <w:lang w:val="zh-CN" w:bidi="zh-CN"/>
        </w:rPr>
        <w:t>地暖房：鸿山鼎等同级（开地暖）</w:t>
      </w:r>
    </w:p>
    <w:p>
      <w:pPr>
        <w:keepNext w:val="0"/>
        <w:keepLines w:val="0"/>
        <w:pageBreakBefore w:val="0"/>
        <w:kinsoku/>
        <w:wordWrap/>
        <w:overflowPunct/>
        <w:topLinePunct w:val="0"/>
        <w:bidi w:val="0"/>
        <w:spacing w:line="360" w:lineRule="auto"/>
        <w:jc w:val="left"/>
        <w:textAlignment w:val="auto"/>
        <w:rPr>
          <w:rFonts w:hint="eastAsia" w:ascii="微软雅黑" w:hAnsi="微软雅黑" w:eastAsia="微软雅黑" w:cs="微软雅黑"/>
          <w:b/>
          <w:color w:val="00B0F0"/>
          <w:kern w:val="0"/>
          <w:szCs w:val="21"/>
        </w:rPr>
      </w:pPr>
      <w:r>
        <w:rPr>
          <w:rFonts w:hint="eastAsia" w:ascii="微软雅黑" w:hAnsi="微软雅黑" w:eastAsia="微软雅黑" w:cs="微软雅黑"/>
          <w:b/>
          <w:color w:val="00B0F0"/>
          <w:kern w:val="0"/>
          <w:szCs w:val="21"/>
        </w:rPr>
        <w:t>【接待人群】</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本线路为高海拔户外线路，身体素质要求较高，5~65岁为宜（不接待孕妇、高血压、心脏病等患有心血管或气管疾病的游客</w:t>
      </w:r>
      <w:r>
        <w:rPr>
          <w:rFonts w:hint="eastAsia" w:ascii="微软雅黑" w:hAnsi="微软雅黑" w:eastAsia="微软雅黑" w:cs="微软雅黑"/>
          <w:bCs/>
          <w:kern w:val="0"/>
          <w:szCs w:val="21"/>
          <w:lang w:eastAsia="zh-CN"/>
        </w:rPr>
        <w:t>，以上人群隐瞒</w:t>
      </w:r>
      <w:r>
        <w:rPr>
          <w:rFonts w:hint="eastAsia" w:ascii="微软雅黑" w:hAnsi="微软雅黑" w:eastAsia="微软雅黑" w:cs="微软雅黑"/>
          <w:bCs/>
          <w:kern w:val="0"/>
          <w:szCs w:val="21"/>
          <w:lang w:val="en-US" w:eastAsia="zh-CN"/>
        </w:rPr>
        <w:t>自身身体情况，发生的任何意外与旅行社无关</w:t>
      </w:r>
      <w:r>
        <w:rPr>
          <w:rFonts w:hint="eastAsia" w:ascii="微软雅黑" w:hAnsi="微软雅黑" w:eastAsia="微软雅黑" w:cs="微软雅黑"/>
          <w:bCs/>
          <w:kern w:val="0"/>
          <w:szCs w:val="21"/>
        </w:rPr>
        <w:t>）</w:t>
      </w:r>
    </w:p>
    <w:p>
      <w:pPr>
        <w:keepNext w:val="0"/>
        <w:keepLines w:val="0"/>
        <w:pageBreakBefore w:val="0"/>
        <w:kinsoku/>
        <w:wordWrap/>
        <w:overflowPunct/>
        <w:topLinePunct w:val="0"/>
        <w:bidi w:val="0"/>
        <w:adjustRightInd w:val="0"/>
        <w:spacing w:line="360" w:lineRule="auto"/>
        <w:ind w:left="10" w:hanging="10"/>
        <w:textAlignment w:val="auto"/>
        <w:rPr>
          <w:rFonts w:hint="eastAsia" w:ascii="微软雅黑" w:hAnsi="微软雅黑" w:eastAsia="微软雅黑" w:cs="微软雅黑"/>
          <w:b/>
          <w:color w:val="00B0F0"/>
          <w:kern w:val="0"/>
          <w:szCs w:val="21"/>
        </w:rPr>
      </w:pPr>
      <w:r>
        <w:rPr>
          <w:rFonts w:hint="eastAsia" w:ascii="微软雅黑" w:hAnsi="微软雅黑" w:eastAsia="微软雅黑" w:cs="微软雅黑"/>
          <w:b/>
          <w:color w:val="00B0F0"/>
          <w:kern w:val="0"/>
          <w:szCs w:val="21"/>
        </w:rPr>
        <w:t>【退改规则】</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成都出团前第5天取消，退还报名费用100%；</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成都出团前第3天取消，退还报名费用80%；</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成都出团前第2天取消，退还报名费用70%；</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成都出团前第1天取消，退还报名费用20%；</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成都出团当天未上车或中途离团，则费用不退。</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
          <w:color w:val="00B0F0"/>
          <w:kern w:val="0"/>
          <w:szCs w:val="21"/>
        </w:rPr>
      </w:pPr>
      <w:r>
        <w:rPr>
          <w:rFonts w:hint="eastAsia" w:ascii="微软雅黑" w:hAnsi="微软雅黑" w:eastAsia="微软雅黑" w:cs="微软雅黑"/>
          <w:b/>
          <w:color w:val="00B0F0"/>
          <w:kern w:val="0"/>
          <w:szCs w:val="21"/>
        </w:rPr>
        <w:t>【购物提示】</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Cs w:val="21"/>
        </w:rPr>
      </w:pPr>
      <w:r>
        <w:rPr>
          <w:rFonts w:hint="eastAsia" w:ascii="微软雅黑" w:hAnsi="微软雅黑" w:eastAsia="微软雅黑" w:cs="微软雅黑"/>
          <w:bCs/>
          <w:kern w:val="0"/>
          <w:szCs w:val="21"/>
        </w:rPr>
        <w:t>本行程全程不进任何购物店，各景区内纪念品售卖点，沿途休息站（加水点，厕所）小卖部不属于旅行社安排购物店范围游客不能因为厕所，旁边和里面有物品贩卖而投诉导游或旅行社安排购物。当地居民贩卖纪念品、土特产，非我社提供服务，请谨慎购买，以免上当。</w:t>
      </w:r>
    </w:p>
    <w:p>
      <w:pPr>
        <w:keepNext w:val="0"/>
        <w:keepLines w:val="0"/>
        <w:pageBreakBefore w:val="0"/>
        <w:kinsoku/>
        <w:wordWrap/>
        <w:overflowPunct/>
        <w:topLinePunct w:val="0"/>
        <w:bidi w:val="0"/>
        <w:adjustRightInd w:val="0"/>
        <w:spacing w:line="360" w:lineRule="auto"/>
        <w:ind w:left="918" w:hanging="874" w:hangingChars="437"/>
        <w:textAlignment w:val="auto"/>
        <w:rPr>
          <w:rFonts w:hint="eastAsia" w:ascii="微软雅黑" w:hAnsi="微软雅黑" w:eastAsia="微软雅黑" w:cs="微软雅黑"/>
          <w:b/>
          <w:color w:val="00B0F0"/>
          <w:kern w:val="0"/>
          <w:sz w:val="20"/>
          <w:szCs w:val="20"/>
        </w:rPr>
      </w:pPr>
      <w:r>
        <w:rPr>
          <w:rFonts w:hint="eastAsia" w:ascii="微软雅黑" w:hAnsi="微软雅黑" w:eastAsia="微软雅黑" w:cs="微软雅黑"/>
          <w:b/>
          <w:color w:val="00B0F0"/>
          <w:kern w:val="0"/>
          <w:sz w:val="20"/>
          <w:szCs w:val="20"/>
        </w:rPr>
        <w:t>【行程提示】</w:t>
      </w:r>
    </w:p>
    <w:p>
      <w:pPr>
        <w:keepNext w:val="0"/>
        <w:keepLines w:val="0"/>
        <w:pageBreakBefore w:val="0"/>
        <w:kinsoku/>
        <w:wordWrap/>
        <w:overflowPunct/>
        <w:topLinePunct w:val="0"/>
        <w:bidi w:val="0"/>
        <w:adjustRightInd w:val="0"/>
        <w:spacing w:line="360" w:lineRule="auto"/>
        <w:ind w:left="1224" w:hanging="1166" w:hangingChars="583"/>
        <w:textAlignment w:val="auto"/>
        <w:rPr>
          <w:rFonts w:hint="eastAsia" w:ascii="微软雅黑" w:hAnsi="微软雅黑" w:eastAsia="微软雅黑" w:cs="微软雅黑"/>
          <w:bCs/>
          <w:kern w:val="0"/>
          <w:sz w:val="20"/>
          <w:szCs w:val="20"/>
        </w:rPr>
      </w:pPr>
      <w:r>
        <w:rPr>
          <w:rFonts w:hint="eastAsia" w:ascii="微软雅黑" w:hAnsi="微软雅黑" w:eastAsia="微软雅黑" w:cs="微软雅黑"/>
          <w:bCs/>
          <w:kern w:val="0"/>
          <w:sz w:val="20"/>
          <w:szCs w:val="20"/>
        </w:rPr>
        <w:t>藏区路况复杂，车辆行驶负荷较大，可能会遇到汽车抛锚并影响行程的情况，请游客作好心</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 w:val="20"/>
          <w:szCs w:val="20"/>
        </w:rPr>
      </w:pPr>
      <w:r>
        <w:rPr>
          <w:rFonts w:hint="eastAsia" w:ascii="微软雅黑" w:hAnsi="微软雅黑" w:eastAsia="微软雅黑" w:cs="微软雅黑"/>
          <w:bCs/>
          <w:kern w:val="0"/>
          <w:sz w:val="20"/>
          <w:szCs w:val="20"/>
        </w:rPr>
        <w:t>理准备；如途中遇人力不可抗拒的因素（如高原反应、修路、塌方、车辆事故阻碍等）我社</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 w:val="20"/>
          <w:szCs w:val="20"/>
        </w:rPr>
      </w:pPr>
      <w:r>
        <w:rPr>
          <w:rFonts w:hint="eastAsia" w:ascii="微软雅黑" w:hAnsi="微软雅黑" w:eastAsia="微软雅黑" w:cs="微软雅黑"/>
          <w:bCs/>
          <w:kern w:val="0"/>
          <w:sz w:val="20"/>
          <w:szCs w:val="20"/>
        </w:rPr>
        <w:t>有权根据情况调整行程线路走向，若造成超支费用由客人自理；若对行程造成影响的，旅行</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bCs/>
          <w:kern w:val="0"/>
          <w:sz w:val="20"/>
          <w:szCs w:val="20"/>
        </w:rPr>
      </w:pPr>
      <w:r>
        <w:rPr>
          <w:rFonts w:hint="eastAsia" w:ascii="微软雅黑" w:hAnsi="微软雅黑" w:eastAsia="微软雅黑" w:cs="微软雅黑"/>
          <w:bCs/>
          <w:kern w:val="0"/>
          <w:sz w:val="20"/>
          <w:szCs w:val="20"/>
        </w:rPr>
        <w:t>社将协助游客进行解决，但不承担由此造成的损失，若因此而增加的费用，敬请游客自理。</w:t>
      </w:r>
    </w:p>
    <w:p>
      <w:pPr>
        <w:keepNext w:val="0"/>
        <w:keepLines w:val="0"/>
        <w:pageBreakBefore w:val="0"/>
        <w:kinsoku/>
        <w:wordWrap/>
        <w:overflowPunct/>
        <w:topLinePunct w:val="0"/>
        <w:bidi w:val="0"/>
        <w:adjustRightInd w:val="0"/>
        <w:spacing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b/>
          <w:color w:val="FF0000"/>
          <w:kern w:val="0"/>
          <w:sz w:val="20"/>
          <w:szCs w:val="20"/>
        </w:rPr>
        <w:t>特别提醒：藏区厕所都是灾后藏民自己修建，不是旅游公共厕所，所以沿途厕所都要收费（1-2元/人）</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1、保险：含旅行社责任险，已为游客购买旅游意外险（最高赔偿额度不超过10万元，最终解释权归保险公司所有，旅行社仅为代理购买机构）</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2、免责条款：游客需确保自身无任何疾病，因高原反应引发疾病及急性病导致身体上的损伤或者伤亡发团社与组社团不承担赔偿与责任</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3、装备建议</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服装鞋帽</w:t>
      </w:r>
    </w:p>
    <w:p>
      <w:pPr>
        <w:pStyle w:val="6"/>
        <w:keepNext w:val="0"/>
        <w:keepLines w:val="0"/>
        <w:pageBreakBefore w:val="0"/>
        <w:numPr>
          <w:ilvl w:val="0"/>
          <w:numId w:val="1"/>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服装：防寒保暖衣物及备换衣物；</w:t>
      </w:r>
    </w:p>
    <w:p>
      <w:pPr>
        <w:pStyle w:val="6"/>
        <w:keepNext w:val="0"/>
        <w:keepLines w:val="0"/>
        <w:pageBreakBefore w:val="0"/>
        <w:numPr>
          <w:ilvl w:val="0"/>
          <w:numId w:val="1"/>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鞋子：防滑保暖高邦登山鞋或休闲鞋（坚决杜绝穿高跟鞋）；</w:t>
      </w:r>
    </w:p>
    <w:p>
      <w:pPr>
        <w:pStyle w:val="6"/>
        <w:keepNext w:val="0"/>
        <w:keepLines w:val="0"/>
        <w:pageBreakBefore w:val="0"/>
        <w:numPr>
          <w:ilvl w:val="0"/>
          <w:numId w:val="1"/>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其他：墨镜、太阳帽、手套、头巾、换洗的内衣裤、袜子。</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日常用品</w:t>
      </w:r>
    </w:p>
    <w:p>
      <w:pPr>
        <w:pStyle w:val="6"/>
        <w:keepNext w:val="0"/>
        <w:keepLines w:val="0"/>
        <w:pageBreakBefore w:val="0"/>
        <w:numPr>
          <w:ilvl w:val="0"/>
          <w:numId w:val="2"/>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洗漱护肤：洗漱用品、防晒霜（建议50倍以上，重要、必备）、唇膏（重要、必备）、护手霜。</w:t>
      </w:r>
    </w:p>
    <w:p>
      <w:pPr>
        <w:pStyle w:val="6"/>
        <w:keepNext w:val="0"/>
        <w:keepLines w:val="0"/>
        <w:pageBreakBefore w:val="0"/>
        <w:numPr>
          <w:ilvl w:val="0"/>
          <w:numId w:val="2"/>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辅助工具：保温杯；雨具（雨伞和雨披）。</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食品：水，零食，面包，水果，佐餐等。</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药品</w:t>
      </w:r>
    </w:p>
    <w:p>
      <w:pPr>
        <w:pStyle w:val="6"/>
        <w:keepNext w:val="0"/>
        <w:keepLines w:val="0"/>
        <w:pageBreakBefore w:val="0"/>
        <w:numPr>
          <w:ilvl w:val="0"/>
          <w:numId w:val="3"/>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备用药品：个人常用药（根据个人的身体状况，酌情携带。）；</w:t>
      </w:r>
    </w:p>
    <w:p>
      <w:pPr>
        <w:pStyle w:val="6"/>
        <w:keepNext w:val="0"/>
        <w:keepLines w:val="0"/>
        <w:pageBreakBefore w:val="0"/>
        <w:numPr>
          <w:ilvl w:val="0"/>
          <w:numId w:val="3"/>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建议自备：感冒药、肠胃药、晕车药、散列通或头疼粉、葡萄糖（粉剂或者口服液）、创可贴、风油精、驱蚊水，高原安、以及抗高原反应药物。</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通讯摄影：手机，摄影器材以及相关充电器。</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证件：身份证或临时身份证。</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箱包：旅行箱、背包、腰包。</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4、未成年人保护：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5、60岁以上老人参团，请确认签免责协议：</w:t>
      </w:r>
      <w:r>
        <w:rPr>
          <w:rFonts w:hint="eastAsia" w:ascii="微软雅黑" w:hAnsi="微软雅黑" w:eastAsia="微软雅黑" w:cs="微软雅黑"/>
          <w:sz w:val="20"/>
          <w:szCs w:val="20"/>
        </w:rPr>
        <w:br w:type="textWrapping"/>
      </w:r>
      <w:r>
        <w:rPr>
          <w:rFonts w:hint="eastAsia" w:ascii="微软雅黑" w:hAnsi="微软雅黑" w:eastAsia="微软雅黑" w:cs="微软雅黑"/>
          <w:sz w:val="20"/>
          <w:szCs w:val="20"/>
        </w:rPr>
        <w:t>本人身体健康，无高血压、高血脂、高血糖、冠心病、动脉硬化、心脏病、哮喘病、老年痴呆、精神病、癌症等可能威胁自身生命和引起严重后果的疾病。如有类似病史自己权衡，一切后果自己负责；如隐瞒病史不报，由此引发的一切后果，由游客本人及家属自行承担，并且如给旅行社带来损失，由游客和家属对旅行社进行赔偿。</w:t>
      </w:r>
      <w:r>
        <w:rPr>
          <w:rFonts w:hint="eastAsia" w:ascii="微软雅黑" w:hAnsi="微软雅黑" w:eastAsia="微软雅黑" w:cs="微软雅黑"/>
          <w:sz w:val="20"/>
          <w:szCs w:val="20"/>
        </w:rPr>
        <w:br w:type="textWrapping"/>
      </w:r>
      <w:r>
        <w:rPr>
          <w:rFonts w:hint="eastAsia" w:ascii="微软雅黑" w:hAnsi="微软雅黑" w:eastAsia="微软雅黑" w:cs="微软雅黑"/>
          <w:sz w:val="20"/>
          <w:szCs w:val="20"/>
        </w:rPr>
        <w:t>我已知晓如下内容：</w:t>
      </w:r>
    </w:p>
    <w:p>
      <w:pPr>
        <w:pStyle w:val="6"/>
        <w:keepNext w:val="0"/>
        <w:keepLines w:val="0"/>
        <w:pageBreakBefore w:val="0"/>
        <w:numPr>
          <w:ilvl w:val="0"/>
          <w:numId w:val="4"/>
        </w:numPr>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旅行社所含的意外伤害险不包括自身已患有的急性病和慢性病急性发作，而且只针对 60 岁以下的人群，我已年满 60 岁，自愿前往参加旅行，如因自身原因发生意外，后果自己承担。</w:t>
      </w:r>
    </w:p>
    <w:p>
      <w:pPr>
        <w:pStyle w:val="6"/>
        <w:keepNext w:val="0"/>
        <w:keepLines w:val="0"/>
        <w:pageBreakBefore w:val="0"/>
        <w:numPr>
          <w:ilvl w:val="0"/>
          <w:numId w:val="4"/>
        </w:numPr>
        <w:kinsoku/>
        <w:wordWrap/>
        <w:overflowPunct/>
        <w:topLinePunct w:val="0"/>
        <w:bidi w:val="0"/>
        <w:spacing w:beforeAutospacing="0" w:afterAutospacing="0" w:line="360" w:lineRule="auto"/>
        <w:ind w:left="0" w:leftChars="0" w:firstLine="0" w:firstLineChars="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旅行社所含的意外伤害险赔付只按保险公司规定理赔范围和额度赔付，超出部份旅行社不承担。</w:t>
      </w:r>
    </w:p>
    <w:p>
      <w:pPr>
        <w:pStyle w:val="6"/>
        <w:keepNext w:val="0"/>
        <w:keepLines w:val="0"/>
        <w:pageBreakBefore w:val="0"/>
        <w:numPr>
          <w:ilvl w:val="0"/>
          <w:numId w:val="4"/>
        </w:numPr>
        <w:kinsoku/>
        <w:wordWrap/>
        <w:overflowPunct/>
        <w:topLinePunct w:val="0"/>
        <w:bidi w:val="0"/>
        <w:spacing w:beforeAutospacing="0" w:afterAutospacing="0" w:line="360" w:lineRule="auto"/>
        <w:ind w:left="0" w:leftChars="0" w:firstLine="0" w:firstLineChars="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 游客在旅行前必须进行健康体检。</w:t>
      </w:r>
    </w:p>
    <w:p>
      <w:pPr>
        <w:pStyle w:val="6"/>
        <w:keepNext w:val="0"/>
        <w:keepLines w:val="0"/>
        <w:pageBreakBefore w:val="0"/>
        <w:numPr>
          <w:ilvl w:val="0"/>
          <w:numId w:val="0"/>
        </w:numPr>
        <w:kinsoku/>
        <w:wordWrap/>
        <w:overflowPunct/>
        <w:topLinePunct w:val="0"/>
        <w:bidi w:val="0"/>
        <w:spacing w:beforeAutospacing="0" w:afterAutospacing="0" w:line="360" w:lineRule="auto"/>
        <w:ind w:leftChars="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4、 进入高原地区前须通过正规医院体检。心、肺、脑和血液系统疾病患者不宜进入高原地区。</w:t>
      </w:r>
    </w:p>
    <w:p>
      <w:pPr>
        <w:pStyle w:val="6"/>
        <w:keepNext w:val="0"/>
        <w:keepLines w:val="0"/>
        <w:pageBreakBefore w:val="0"/>
        <w:kinsoku/>
        <w:wordWrap/>
        <w:overflowPunct/>
        <w:topLinePunct w:val="0"/>
        <w:bidi w:val="0"/>
        <w:spacing w:beforeAutospacing="0" w:afterAutospacing="0" w:line="360" w:lineRule="auto"/>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旅行者（或旅游代表）： ______                时间： ___ 年 ___ 月 ___</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61312" behindDoc="1" locked="0" layoutInCell="1" allowOverlap="1">
          <wp:simplePos x="0" y="0"/>
          <wp:positionH relativeFrom="column">
            <wp:posOffset>-1146175</wp:posOffset>
          </wp:positionH>
          <wp:positionV relativeFrom="paragraph">
            <wp:posOffset>-571500</wp:posOffset>
          </wp:positionV>
          <wp:extent cx="7586980" cy="10702290"/>
          <wp:effectExtent l="0" t="0" r="13970" b="3810"/>
          <wp:wrapNone/>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
                  <a:stretch>
                    <a:fillRect/>
                  </a:stretch>
                </pic:blipFill>
                <pic:spPr>
                  <a:xfrm>
                    <a:off x="0" y="0"/>
                    <a:ext cx="7586980" cy="10702290"/>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-1139825</wp:posOffset>
          </wp:positionH>
          <wp:positionV relativeFrom="paragraph">
            <wp:posOffset>-555625</wp:posOffset>
          </wp:positionV>
          <wp:extent cx="7586980" cy="10702290"/>
          <wp:effectExtent l="0" t="0" r="13970" b="3810"/>
          <wp:wrapNone/>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
                  <a:stretch>
                    <a:fillRect/>
                  </a:stretch>
                </pic:blipFill>
                <pic:spPr>
                  <a:xfrm>
                    <a:off x="0" y="0"/>
                    <a:ext cx="7586980" cy="107022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8BE583"/>
    <w:multiLevelType w:val="singleLevel"/>
    <w:tmpl w:val="AF8BE583"/>
    <w:lvl w:ilvl="0" w:tentative="0">
      <w:start w:val="1"/>
      <w:numFmt w:val="decimal"/>
      <w:suff w:val="nothing"/>
      <w:lvlText w:val="（%1）"/>
      <w:lvlJc w:val="left"/>
    </w:lvl>
  </w:abstractNum>
  <w:abstractNum w:abstractNumId="1">
    <w:nsid w:val="476AB330"/>
    <w:multiLevelType w:val="singleLevel"/>
    <w:tmpl w:val="476AB330"/>
    <w:lvl w:ilvl="0" w:tentative="0">
      <w:start w:val="1"/>
      <w:numFmt w:val="decimal"/>
      <w:suff w:val="nothing"/>
      <w:lvlText w:val="%1、"/>
      <w:lvlJc w:val="left"/>
    </w:lvl>
  </w:abstractNum>
  <w:abstractNum w:abstractNumId="2">
    <w:nsid w:val="4F3ED6EE"/>
    <w:multiLevelType w:val="singleLevel"/>
    <w:tmpl w:val="4F3ED6EE"/>
    <w:lvl w:ilvl="0" w:tentative="0">
      <w:start w:val="1"/>
      <w:numFmt w:val="decimal"/>
      <w:suff w:val="nothing"/>
      <w:lvlText w:val="（%1）"/>
      <w:lvlJc w:val="left"/>
    </w:lvl>
  </w:abstractNum>
  <w:abstractNum w:abstractNumId="3">
    <w:nsid w:val="6E91DD56"/>
    <w:multiLevelType w:val="singleLevel"/>
    <w:tmpl w:val="6E91DD56"/>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C1C"/>
    <w:rsid w:val="000B51F5"/>
    <w:rsid w:val="0017601A"/>
    <w:rsid w:val="001C7AAF"/>
    <w:rsid w:val="00215409"/>
    <w:rsid w:val="003674A3"/>
    <w:rsid w:val="003928B0"/>
    <w:rsid w:val="004B2B21"/>
    <w:rsid w:val="004E1DFC"/>
    <w:rsid w:val="00641CE6"/>
    <w:rsid w:val="006F78D5"/>
    <w:rsid w:val="007A4C1C"/>
    <w:rsid w:val="008A1346"/>
    <w:rsid w:val="009D72FA"/>
    <w:rsid w:val="00A61FA9"/>
    <w:rsid w:val="00B1669F"/>
    <w:rsid w:val="00B25CAB"/>
    <w:rsid w:val="00B9474B"/>
    <w:rsid w:val="00EE4089"/>
    <w:rsid w:val="010313AE"/>
    <w:rsid w:val="06FD3C36"/>
    <w:rsid w:val="0A0E743C"/>
    <w:rsid w:val="0B671D73"/>
    <w:rsid w:val="0D727F14"/>
    <w:rsid w:val="110E12B2"/>
    <w:rsid w:val="120A2B2D"/>
    <w:rsid w:val="13BB7CAC"/>
    <w:rsid w:val="14FD7FB1"/>
    <w:rsid w:val="19A33F6E"/>
    <w:rsid w:val="1D7464CC"/>
    <w:rsid w:val="22CC21C3"/>
    <w:rsid w:val="22EC0C92"/>
    <w:rsid w:val="25886DDD"/>
    <w:rsid w:val="26360608"/>
    <w:rsid w:val="2AAB684B"/>
    <w:rsid w:val="2BE51179"/>
    <w:rsid w:val="2D0A5EEC"/>
    <w:rsid w:val="2DE637D4"/>
    <w:rsid w:val="31A96D43"/>
    <w:rsid w:val="32A15474"/>
    <w:rsid w:val="33476562"/>
    <w:rsid w:val="38B1319B"/>
    <w:rsid w:val="3E871F95"/>
    <w:rsid w:val="3EA47D98"/>
    <w:rsid w:val="3EEA2DF4"/>
    <w:rsid w:val="40706008"/>
    <w:rsid w:val="42294EFE"/>
    <w:rsid w:val="47043B33"/>
    <w:rsid w:val="50197209"/>
    <w:rsid w:val="52234B83"/>
    <w:rsid w:val="589A2FDD"/>
    <w:rsid w:val="599F1515"/>
    <w:rsid w:val="5A475928"/>
    <w:rsid w:val="5E520AA2"/>
    <w:rsid w:val="5E6D4F7D"/>
    <w:rsid w:val="617F5FC2"/>
    <w:rsid w:val="663228C0"/>
    <w:rsid w:val="685443F2"/>
    <w:rsid w:val="6C663AE8"/>
    <w:rsid w:val="6CFB507D"/>
    <w:rsid w:val="70843C0F"/>
    <w:rsid w:val="731879F2"/>
    <w:rsid w:val="731F6C07"/>
    <w:rsid w:val="76952E55"/>
    <w:rsid w:val="7A3C7F70"/>
    <w:rsid w:val="7A950489"/>
    <w:rsid w:val="7B1D3652"/>
    <w:rsid w:val="7B857C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1"/>
    <w:pPr>
      <w:ind w:left="100"/>
      <w:outlineLvl w:val="0"/>
    </w:pPr>
    <w:rPr>
      <w:rFonts w:ascii="微软雅黑" w:hAnsi="微软雅黑" w:eastAsia="微软雅黑" w:cs="微软雅黑"/>
      <w:b/>
      <w:bCs/>
      <w:sz w:val="28"/>
      <w:szCs w:val="28"/>
      <w:lang w:val="zh-CN" w:bidi="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99"/>
    <w:rPr>
      <w:rFonts w:cs="Times New Roman"/>
      <w:b/>
    </w:rPr>
  </w:style>
  <w:style w:type="character" w:customStyle="1" w:styleId="11">
    <w:name w:val="标题 1 Char"/>
    <w:link w:val="2"/>
    <w:qFormat/>
    <w:uiPriority w:val="1"/>
    <w:rPr>
      <w:rFonts w:ascii="微软雅黑" w:hAnsi="微软雅黑" w:eastAsia="微软雅黑" w:cs="微软雅黑"/>
      <w:b/>
      <w:bCs/>
      <w:sz w:val="28"/>
      <w:szCs w:val="28"/>
      <w:lang w:val="zh-CN" w:eastAsia="zh-CN" w:bidi="zh-CN"/>
    </w:rPr>
  </w:style>
  <w:style w:type="paragraph" w:styleId="12">
    <w:name w:val="List Paragraph"/>
    <w:basedOn w:val="1"/>
    <w:unhideWhenUsed/>
    <w:qFormat/>
    <w:uiPriority w:val="99"/>
    <w:pPr>
      <w:ind w:firstLine="420" w:firstLineChars="200"/>
    </w:p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5FDA37-FA28-487F-84B1-82DCC856F657}">
  <ds:schemaRefs/>
</ds:datastoreItem>
</file>

<file path=docProps/app.xml><?xml version="1.0" encoding="utf-8"?>
<Properties xmlns="http://schemas.openxmlformats.org/officeDocument/2006/extended-properties" xmlns:vt="http://schemas.openxmlformats.org/officeDocument/2006/docPropsVTypes">
  <Template>Normal</Template>
  <Pages>1</Pages>
  <Words>508</Words>
  <Characters>2899</Characters>
  <Lines>24</Lines>
  <Paragraphs>6</Paragraphs>
  <TotalTime>18</TotalTime>
  <ScaleCrop>false</ScaleCrop>
  <LinksUpToDate>false</LinksUpToDate>
  <CharactersWithSpaces>3401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2021-02-15T04:38:00Z</dcterms:created>
  <dc:creator>Administrator</dc:creator>
  <cp:lastModifiedBy>Administrator</cp:lastModifiedBy>
  <dcterms:modified xsi:type="dcterms:W3CDTF">2021-02-25T03:36:19Z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