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财务管理制度</w:t>
      </w:r>
    </w:p>
    <w:p>
      <w:pPr>
        <w:spacing w:line="360" w:lineRule="auto"/>
        <w:jc w:val="center"/>
        <w:rPr>
          <w:sz w:val="24"/>
        </w:rPr>
      </w:pPr>
      <w:r>
        <w:rPr>
          <w:rFonts w:hint="eastAsia"/>
          <w:sz w:val="24"/>
        </w:rPr>
        <w:t>第一节 总 则</w:t>
      </w:r>
    </w:p>
    <w:p>
      <w:pPr>
        <w:spacing w:line="360" w:lineRule="auto"/>
        <w:ind w:firstLine="480" w:firstLineChars="200"/>
        <w:rPr>
          <w:sz w:val="24"/>
        </w:rPr>
      </w:pPr>
      <w:r>
        <w:rPr>
          <w:rFonts w:hint="eastAsia"/>
          <w:sz w:val="24"/>
        </w:rPr>
        <w:t>第一条 为加强公司财务管理，根据国家有关法律、法规及财务制度，发挥财务在公司经营管理和实现经济效益中的作用，特制定本制度，由公司财务部负责解释。</w:t>
      </w:r>
    </w:p>
    <w:p>
      <w:pPr>
        <w:spacing w:line="360" w:lineRule="auto"/>
        <w:ind w:firstLine="480" w:firstLineChars="200"/>
        <w:rPr>
          <w:sz w:val="24"/>
        </w:rPr>
      </w:pPr>
      <w:r>
        <w:rPr>
          <w:rFonts w:hint="eastAsia"/>
          <w:sz w:val="24"/>
        </w:rPr>
        <w:t>第二条 本制度是公司管理制度的重要组成部分，是公司各部门和员工办理财会事务的准则。</w:t>
      </w:r>
    </w:p>
    <w:p>
      <w:pPr>
        <w:spacing w:line="360" w:lineRule="auto"/>
        <w:ind w:firstLine="480" w:firstLineChars="200"/>
        <w:rPr>
          <w:sz w:val="24"/>
        </w:rPr>
      </w:pPr>
      <w:r>
        <w:rPr>
          <w:rFonts w:hint="eastAsia"/>
          <w:sz w:val="24"/>
        </w:rPr>
        <w:t>第三条 财务管理工作必须严格执行财务纪律，提高经济效益，壮大公司经济实力为宗旨。</w:t>
      </w:r>
    </w:p>
    <w:p>
      <w:pPr>
        <w:spacing w:line="360" w:lineRule="auto"/>
        <w:ind w:firstLine="480" w:firstLineChars="200"/>
        <w:rPr>
          <w:sz w:val="24"/>
        </w:rPr>
      </w:pPr>
      <w:r>
        <w:rPr>
          <w:rFonts w:hint="eastAsia"/>
          <w:sz w:val="24"/>
        </w:rPr>
        <w:t>第四条 财务管理工作要贯彻“勤俭节约”的方针，精打细算，在公司经营中制止铺张浪费和一切不必要开支，降低消耗。</w:t>
      </w:r>
    </w:p>
    <w:p>
      <w:pPr>
        <w:spacing w:line="360" w:lineRule="auto"/>
        <w:ind w:firstLine="480" w:firstLineChars="200"/>
        <w:rPr>
          <w:sz w:val="24"/>
        </w:rPr>
      </w:pPr>
      <w:r>
        <w:rPr>
          <w:rFonts w:hint="eastAsia"/>
          <w:sz w:val="24"/>
        </w:rPr>
        <w:t>第五条 公司的财务工作，必须执行本制度。</w:t>
      </w:r>
    </w:p>
    <w:p>
      <w:pPr>
        <w:numPr>
          <w:ilvl w:val="0"/>
          <w:numId w:val="1"/>
        </w:numPr>
        <w:spacing w:line="360" w:lineRule="auto"/>
        <w:ind w:firstLine="480" w:firstLineChars="200"/>
        <w:jc w:val="center"/>
        <w:rPr>
          <w:sz w:val="24"/>
        </w:rPr>
      </w:pPr>
      <w:r>
        <w:rPr>
          <w:rFonts w:hint="eastAsia"/>
          <w:sz w:val="24"/>
        </w:rPr>
        <w:t xml:space="preserve"> 财务管理职能       </w:t>
      </w:r>
    </w:p>
    <w:p>
      <w:pPr>
        <w:spacing w:line="360" w:lineRule="auto"/>
        <w:ind w:firstLine="480" w:firstLineChars="200"/>
        <w:rPr>
          <w:sz w:val="24"/>
        </w:rPr>
      </w:pPr>
      <w:r>
        <w:rPr>
          <w:rFonts w:hint="eastAsia"/>
          <w:sz w:val="24"/>
        </w:rPr>
        <w:t>第一条  财务部门职能</w:t>
      </w:r>
    </w:p>
    <w:p>
      <w:pPr>
        <w:spacing w:line="360" w:lineRule="auto"/>
        <w:ind w:firstLine="480" w:firstLineChars="200"/>
        <w:rPr>
          <w:sz w:val="24"/>
        </w:rPr>
      </w:pPr>
      <w:r>
        <w:rPr>
          <w:rFonts w:hint="eastAsia"/>
          <w:sz w:val="24"/>
        </w:rPr>
        <w:t>1、认真贯彻执行国家有关的财务管理制度，建立健全财务管理的各项规章制度，健全会计机构，编制财务预算，加强经营核算管理，反映分析财务预算的执行情况，检查监督财经纪律；</w:t>
      </w:r>
    </w:p>
    <w:p>
      <w:pPr>
        <w:spacing w:line="360" w:lineRule="auto"/>
        <w:ind w:firstLine="480" w:firstLineChars="200"/>
        <w:rPr>
          <w:sz w:val="24"/>
        </w:rPr>
      </w:pPr>
      <w:r>
        <w:rPr>
          <w:rFonts w:hint="eastAsia"/>
          <w:sz w:val="24"/>
        </w:rPr>
        <w:t>2、积极为公司经营管理服务，促进公司取得较好的经济效益；</w:t>
      </w:r>
    </w:p>
    <w:p>
      <w:pPr>
        <w:spacing w:line="360" w:lineRule="auto"/>
        <w:ind w:firstLine="480" w:firstLineChars="200"/>
        <w:rPr>
          <w:sz w:val="24"/>
        </w:rPr>
      </w:pPr>
      <w:r>
        <w:rPr>
          <w:rFonts w:hint="eastAsia"/>
          <w:sz w:val="24"/>
        </w:rPr>
        <w:t>3、监督和反映公司的财务状况及投资项目的经营成果，维护公司利益，保护公司资产的安全性和完整性；</w:t>
      </w:r>
    </w:p>
    <w:p>
      <w:pPr>
        <w:spacing w:line="360" w:lineRule="auto"/>
        <w:ind w:firstLine="480" w:firstLineChars="200"/>
        <w:rPr>
          <w:sz w:val="24"/>
        </w:rPr>
      </w:pPr>
      <w:r>
        <w:rPr>
          <w:rFonts w:hint="eastAsia"/>
          <w:sz w:val="24"/>
        </w:rPr>
        <w:t>4、负责公司会计核算，编制月度、季度、年度财务报表及财务分析报告，控制公司经营和财务风险，为公司经营计划和目标提供有效依据；</w:t>
      </w:r>
    </w:p>
    <w:p>
      <w:pPr>
        <w:spacing w:line="360" w:lineRule="auto"/>
        <w:ind w:firstLine="480" w:firstLineChars="200"/>
        <w:rPr>
          <w:sz w:val="24"/>
        </w:rPr>
      </w:pPr>
      <w:r>
        <w:rPr>
          <w:rFonts w:hint="eastAsia"/>
          <w:sz w:val="24"/>
        </w:rPr>
        <w:t>5、负责公司资金运作及资金管理工作，做好融资工作，保障公司经营投资计划的资金需求，合理使用资金，提高资金使用效率，提高公司资产的流动性；</w:t>
      </w:r>
    </w:p>
    <w:p>
      <w:pPr>
        <w:spacing w:line="360" w:lineRule="auto"/>
        <w:ind w:firstLine="480" w:firstLineChars="200"/>
        <w:rPr>
          <w:sz w:val="24"/>
        </w:rPr>
      </w:pPr>
      <w:r>
        <w:rPr>
          <w:rFonts w:hint="eastAsia"/>
          <w:sz w:val="24"/>
        </w:rPr>
        <w:t>6、根据税法规定，负责公司各项纳税申报工作，同时规范其下属公司的纳税行为，及时为子公司提供税务咨询与指导；</w:t>
      </w:r>
    </w:p>
    <w:p>
      <w:pPr>
        <w:spacing w:line="360" w:lineRule="auto"/>
        <w:ind w:firstLine="480" w:firstLineChars="200"/>
        <w:rPr>
          <w:sz w:val="24"/>
        </w:rPr>
      </w:pPr>
      <w:r>
        <w:rPr>
          <w:rFonts w:hint="eastAsia"/>
          <w:sz w:val="24"/>
        </w:rPr>
        <w:t>7、负责编制公司的年度财务预算；</w:t>
      </w:r>
    </w:p>
    <w:p>
      <w:pPr>
        <w:spacing w:line="360" w:lineRule="auto"/>
        <w:ind w:firstLine="480" w:firstLineChars="200"/>
        <w:rPr>
          <w:sz w:val="24"/>
        </w:rPr>
      </w:pPr>
      <w:r>
        <w:rPr>
          <w:rFonts w:hint="eastAsia"/>
          <w:sz w:val="24"/>
        </w:rPr>
        <w:t>8、负责公司年度报表审计工作，按时提交年度审计报告；</w:t>
      </w:r>
    </w:p>
    <w:p>
      <w:pPr>
        <w:spacing w:line="360" w:lineRule="auto"/>
        <w:ind w:firstLine="480" w:firstLineChars="200"/>
        <w:rPr>
          <w:sz w:val="24"/>
        </w:rPr>
      </w:pPr>
      <w:r>
        <w:rPr>
          <w:rFonts w:hint="eastAsia"/>
          <w:sz w:val="24"/>
        </w:rPr>
        <w:t>9、负责对公司的实际财务状况和经营情况定期或不定期向公司管理层汇报的责任，落实各项财务管理制度的执行，对不符合制度规定的财务收支有权拒绝办理；</w:t>
      </w:r>
    </w:p>
    <w:p>
      <w:pPr>
        <w:spacing w:line="360" w:lineRule="auto"/>
        <w:ind w:firstLine="480" w:firstLineChars="200"/>
        <w:rPr>
          <w:sz w:val="24"/>
        </w:rPr>
      </w:pPr>
      <w:r>
        <w:rPr>
          <w:rFonts w:hint="eastAsia"/>
          <w:sz w:val="24"/>
        </w:rPr>
        <w:t>10、参与拟定公司利润分配方案、发展规划、重大投资方案以及各类经济合同等有关经营活动；</w:t>
      </w:r>
    </w:p>
    <w:p>
      <w:pPr>
        <w:spacing w:line="360" w:lineRule="auto"/>
        <w:ind w:firstLine="480" w:firstLineChars="200"/>
        <w:rPr>
          <w:sz w:val="24"/>
        </w:rPr>
      </w:pPr>
      <w:r>
        <w:rPr>
          <w:rFonts w:hint="eastAsia"/>
          <w:sz w:val="24"/>
        </w:rPr>
        <w:t>11、协助国家审计部门及国资委安排的对公司的审计工作；</w:t>
      </w:r>
    </w:p>
    <w:p>
      <w:pPr>
        <w:spacing w:line="360" w:lineRule="auto"/>
        <w:ind w:firstLine="480" w:firstLineChars="200"/>
        <w:rPr>
          <w:sz w:val="24"/>
        </w:rPr>
      </w:pPr>
      <w:r>
        <w:rPr>
          <w:rFonts w:hint="eastAsia"/>
          <w:sz w:val="24"/>
        </w:rPr>
        <w:t>12、承办公司领导交办的其他工作。</w:t>
      </w:r>
    </w:p>
    <w:p>
      <w:pPr>
        <w:spacing w:line="360" w:lineRule="auto"/>
        <w:ind w:firstLine="480" w:firstLineChars="200"/>
        <w:jc w:val="center"/>
        <w:rPr>
          <w:sz w:val="24"/>
        </w:rPr>
      </w:pPr>
      <w:r>
        <w:rPr>
          <w:rFonts w:hint="eastAsia"/>
          <w:sz w:val="24"/>
        </w:rPr>
        <w:t>第三节  财务工作岗位职责</w:t>
      </w:r>
    </w:p>
    <w:p>
      <w:pPr>
        <w:spacing w:line="360" w:lineRule="auto"/>
        <w:ind w:firstLine="480" w:firstLineChars="200"/>
        <w:rPr>
          <w:sz w:val="24"/>
        </w:rPr>
      </w:pPr>
      <w:r>
        <w:rPr>
          <w:rFonts w:hint="eastAsia"/>
          <w:sz w:val="24"/>
        </w:rPr>
        <w:t>第一条  公司财务经理主要工作职责：</w:t>
      </w:r>
    </w:p>
    <w:p>
      <w:pPr>
        <w:spacing w:line="360" w:lineRule="auto"/>
        <w:ind w:firstLine="480" w:firstLineChars="200"/>
        <w:rPr>
          <w:sz w:val="24"/>
        </w:rPr>
      </w:pPr>
      <w:r>
        <w:rPr>
          <w:rFonts w:hint="eastAsia"/>
          <w:sz w:val="24"/>
        </w:rPr>
        <w:t>1、根据公司的要求和公司工作管理流程，建立健全财务管理制度、会计核算制度，利用财务会计资料进行经济活动分析；</w:t>
      </w:r>
    </w:p>
    <w:p>
      <w:pPr>
        <w:spacing w:line="360" w:lineRule="auto"/>
        <w:ind w:firstLine="480" w:firstLineChars="200"/>
        <w:rPr>
          <w:sz w:val="24"/>
        </w:rPr>
      </w:pPr>
      <w:r>
        <w:rPr>
          <w:rFonts w:hint="eastAsia"/>
          <w:sz w:val="24"/>
        </w:rPr>
        <w:t>2、对公司的财务收支的合理性、合法性、真实性进行监督，在职权范围内对会计信息的真实性、完整性承担责任，及时、准确向公司管理层提供客观、真实的财务状况和经营成果会计报表；</w:t>
      </w:r>
    </w:p>
    <w:p>
      <w:pPr>
        <w:spacing w:line="360" w:lineRule="auto"/>
        <w:ind w:firstLine="480" w:firstLineChars="200"/>
        <w:rPr>
          <w:sz w:val="24"/>
        </w:rPr>
      </w:pPr>
      <w:r>
        <w:rPr>
          <w:rFonts w:hint="eastAsia"/>
          <w:sz w:val="24"/>
        </w:rPr>
        <w:t>3、预测和评价公司财务状况和经营预算完成情况，及时发现存在问题和潜在风险，提出财务意见；</w:t>
      </w:r>
    </w:p>
    <w:p>
      <w:pPr>
        <w:spacing w:line="360" w:lineRule="auto"/>
        <w:ind w:firstLine="480" w:firstLineChars="200"/>
        <w:rPr>
          <w:sz w:val="24"/>
        </w:rPr>
      </w:pPr>
      <w:r>
        <w:rPr>
          <w:rFonts w:hint="eastAsia"/>
          <w:sz w:val="24"/>
        </w:rPr>
        <w:t>4、拟定融资计划，预测资金成本、分析实际融资条件的变化及其对项目效益的影响，分析融资变化可能产生的风险及对策；审核资金计划，对资金用途提出建议,提高资金使用效率；</w:t>
      </w:r>
    </w:p>
    <w:p>
      <w:pPr>
        <w:spacing w:line="360" w:lineRule="auto"/>
        <w:ind w:firstLine="480" w:firstLineChars="200"/>
        <w:rPr>
          <w:sz w:val="24"/>
        </w:rPr>
      </w:pPr>
      <w:r>
        <w:rPr>
          <w:rFonts w:hint="eastAsia"/>
          <w:sz w:val="24"/>
        </w:rPr>
        <w:t>5、参与投资环境的调查，对拟上新项目提出财务管理、税收及现金流量等方面的意见；根据其它专业列出的各种项目风险因素对财务指标的影响，进行不确定性和风险分析，评估项目本身的盈利能力、资金流动性和财务风险；</w:t>
      </w:r>
    </w:p>
    <w:p>
      <w:pPr>
        <w:spacing w:line="360" w:lineRule="auto"/>
        <w:ind w:firstLine="480" w:firstLineChars="200"/>
        <w:rPr>
          <w:sz w:val="24"/>
        </w:rPr>
      </w:pPr>
      <w:r>
        <w:rPr>
          <w:rFonts w:hint="eastAsia"/>
          <w:sz w:val="24"/>
        </w:rPr>
        <w:t>6、对已上项目的投资及投资使用情况及时跟踪、反馈，并制定应对措施；</w:t>
      </w:r>
    </w:p>
    <w:p>
      <w:pPr>
        <w:spacing w:line="360" w:lineRule="auto"/>
        <w:ind w:firstLine="480" w:firstLineChars="200"/>
        <w:rPr>
          <w:sz w:val="24"/>
        </w:rPr>
      </w:pPr>
      <w:r>
        <w:rPr>
          <w:rFonts w:hint="eastAsia"/>
          <w:sz w:val="24"/>
        </w:rPr>
        <w:t>7、督促公司有关部门降低成本、节约费用、提高经济效益；</w:t>
      </w:r>
    </w:p>
    <w:p>
      <w:pPr>
        <w:spacing w:line="360" w:lineRule="auto"/>
        <w:ind w:firstLine="480" w:firstLineChars="200"/>
        <w:rPr>
          <w:sz w:val="24"/>
        </w:rPr>
      </w:pPr>
      <w:r>
        <w:rPr>
          <w:rFonts w:hint="eastAsia"/>
          <w:sz w:val="24"/>
        </w:rPr>
        <w:t>8、负责指导、管理、监督财务人员的业务工作，以优质工作质量和优良服务态度，为公司各部门员提供财务帮助；</w:t>
      </w:r>
    </w:p>
    <w:p>
      <w:pPr>
        <w:spacing w:line="360" w:lineRule="auto"/>
        <w:ind w:firstLine="480" w:firstLineChars="200"/>
        <w:rPr>
          <w:sz w:val="24"/>
        </w:rPr>
      </w:pPr>
      <w:r>
        <w:rPr>
          <w:rFonts w:hint="eastAsia"/>
          <w:sz w:val="24"/>
        </w:rPr>
        <w:t>9、负责做好协调上级有关部门及财政、税务、银行的财务工作，主动提供相关资料，如实反映情况；</w:t>
      </w:r>
    </w:p>
    <w:p>
      <w:pPr>
        <w:spacing w:line="360" w:lineRule="auto"/>
        <w:ind w:firstLine="480" w:firstLineChars="200"/>
        <w:rPr>
          <w:sz w:val="24"/>
        </w:rPr>
      </w:pPr>
      <w:r>
        <w:rPr>
          <w:rFonts w:hint="eastAsia"/>
          <w:sz w:val="24"/>
        </w:rPr>
        <w:t>10、承办公司领导交办的其他工作。</w:t>
      </w:r>
    </w:p>
    <w:p>
      <w:pPr>
        <w:spacing w:line="360" w:lineRule="auto"/>
        <w:ind w:firstLine="480" w:firstLineChars="200"/>
        <w:rPr>
          <w:sz w:val="24"/>
        </w:rPr>
      </w:pPr>
      <w:r>
        <w:rPr>
          <w:rFonts w:hint="eastAsia"/>
          <w:sz w:val="24"/>
        </w:rPr>
        <w:t>第三十一条  总账会计主要工作职责：</w:t>
      </w:r>
    </w:p>
    <w:p>
      <w:pPr>
        <w:spacing w:line="360" w:lineRule="auto"/>
        <w:ind w:firstLine="480" w:firstLineChars="200"/>
        <w:rPr>
          <w:sz w:val="24"/>
        </w:rPr>
      </w:pPr>
      <w:r>
        <w:rPr>
          <w:rFonts w:hint="eastAsia"/>
          <w:sz w:val="24"/>
        </w:rPr>
        <w:t>1、按照国家会计制度的规定、记帐、报帐做到手续完备，数字准确，帐目清楚；</w:t>
      </w:r>
    </w:p>
    <w:p>
      <w:pPr>
        <w:spacing w:line="360" w:lineRule="auto"/>
        <w:ind w:firstLine="480" w:firstLineChars="200"/>
        <w:rPr>
          <w:sz w:val="24"/>
        </w:rPr>
      </w:pPr>
      <w:r>
        <w:rPr>
          <w:rFonts w:hint="eastAsia"/>
          <w:sz w:val="24"/>
        </w:rPr>
        <w:t>2、负责编制公司月度、季度、年度会计报表及财务分析报告，及时反映分析公司经营成果和财务状况；按照经济核算原则，定期检查、分析公司财务、成本、利润和经营预算的执行情况；</w:t>
      </w:r>
    </w:p>
    <w:p>
      <w:pPr>
        <w:spacing w:line="360" w:lineRule="auto"/>
        <w:ind w:firstLine="480" w:firstLineChars="200"/>
        <w:rPr>
          <w:sz w:val="24"/>
        </w:rPr>
      </w:pPr>
      <w:r>
        <w:rPr>
          <w:rFonts w:hint="eastAsia"/>
          <w:sz w:val="24"/>
        </w:rPr>
        <w:t>3、及时准确计算公司申报纳税的各项税金，加强与财政、税务部门的沟通联系，了解和掌握最新的国家财政税收政策；</w:t>
      </w:r>
    </w:p>
    <w:p>
      <w:pPr>
        <w:spacing w:line="360" w:lineRule="auto"/>
        <w:ind w:firstLine="480" w:firstLineChars="200"/>
        <w:rPr>
          <w:sz w:val="24"/>
        </w:rPr>
      </w:pPr>
      <w:r>
        <w:rPr>
          <w:rFonts w:hint="eastAsia"/>
          <w:sz w:val="24"/>
        </w:rPr>
        <w:t>4、根据公司规定的成本、费用开支标准，审核原始凭证的合法性、真实性，挖掘增收节支潜力，提出合理化建议，当好公司参谋；</w:t>
      </w:r>
    </w:p>
    <w:p>
      <w:pPr>
        <w:spacing w:line="360" w:lineRule="auto"/>
        <w:ind w:firstLine="480" w:firstLineChars="200"/>
        <w:rPr>
          <w:sz w:val="24"/>
        </w:rPr>
      </w:pPr>
      <w:r>
        <w:rPr>
          <w:rFonts w:hint="eastAsia"/>
          <w:sz w:val="24"/>
        </w:rPr>
        <w:t>5、配合完成各类计划报表；按政府主管部门要求报送已审批的财务报表和统计报表；</w:t>
      </w:r>
    </w:p>
    <w:p>
      <w:pPr>
        <w:spacing w:line="360" w:lineRule="auto"/>
        <w:ind w:firstLine="480" w:firstLineChars="200"/>
        <w:rPr>
          <w:sz w:val="24"/>
        </w:rPr>
      </w:pPr>
      <w:r>
        <w:rPr>
          <w:rFonts w:hint="eastAsia"/>
          <w:sz w:val="24"/>
        </w:rPr>
        <w:t>6、对重要帐务处理积极与会计事务所联系沟通，避免产生年度审计调整事项；</w:t>
      </w:r>
    </w:p>
    <w:p>
      <w:pPr>
        <w:spacing w:line="360" w:lineRule="auto"/>
        <w:ind w:firstLine="480" w:firstLineChars="200"/>
        <w:rPr>
          <w:sz w:val="24"/>
        </w:rPr>
      </w:pPr>
      <w:r>
        <w:rPr>
          <w:rFonts w:hint="eastAsia"/>
          <w:sz w:val="24"/>
        </w:rPr>
        <w:t>7、妥善保管会计凭证、会计帐簿、会计报表和其他会计资料。</w:t>
      </w:r>
    </w:p>
    <w:p>
      <w:pPr>
        <w:spacing w:line="360" w:lineRule="auto"/>
        <w:ind w:firstLine="480" w:firstLineChars="200"/>
        <w:rPr>
          <w:sz w:val="24"/>
        </w:rPr>
      </w:pPr>
      <w:r>
        <w:rPr>
          <w:rFonts w:hint="eastAsia"/>
          <w:sz w:val="24"/>
        </w:rPr>
        <w:t>第二条  出纳主要工作职责：</w:t>
      </w:r>
    </w:p>
    <w:p>
      <w:pPr>
        <w:spacing w:line="360" w:lineRule="auto"/>
        <w:ind w:firstLine="480" w:firstLineChars="200"/>
        <w:rPr>
          <w:sz w:val="24"/>
        </w:rPr>
      </w:pPr>
      <w:r>
        <w:rPr>
          <w:rFonts w:hint="eastAsia"/>
          <w:sz w:val="24"/>
        </w:rPr>
        <w:t>1、认真执行现金管理制度，严格执行库存现金限额，超出部分必须及时送存银行，不坐支现金，不得白条抵压现金；</w:t>
      </w:r>
    </w:p>
    <w:p>
      <w:pPr>
        <w:spacing w:line="360" w:lineRule="auto"/>
        <w:ind w:firstLine="480" w:firstLineChars="200"/>
        <w:rPr>
          <w:sz w:val="24"/>
        </w:rPr>
      </w:pPr>
      <w:r>
        <w:rPr>
          <w:rFonts w:hint="eastAsia"/>
          <w:sz w:val="24"/>
        </w:rPr>
        <w:t>2、建立健全现金出纳各种帐目，负责保管库存现金和有价货币证券，严格遵守结算纪律，按照银行规定办理转帐结算业务；</w:t>
      </w:r>
    </w:p>
    <w:p>
      <w:pPr>
        <w:spacing w:line="360" w:lineRule="auto"/>
        <w:ind w:firstLine="480" w:firstLineChars="200"/>
        <w:rPr>
          <w:sz w:val="24"/>
        </w:rPr>
      </w:pPr>
      <w:r>
        <w:rPr>
          <w:rFonts w:hint="eastAsia"/>
          <w:sz w:val="24"/>
        </w:rPr>
        <w:t>3、做到日清月结，账款相符，不保存帐外现金，杜绝空头支票发生，长款不得私自取走，短款要按所欠金额如实赔偿；服从会计的直接领导，认真审核收付款原始凭证，做好往来款项收支工作；</w:t>
      </w:r>
    </w:p>
    <w:p>
      <w:pPr>
        <w:spacing w:line="360" w:lineRule="auto"/>
        <w:ind w:firstLine="480" w:firstLineChars="200"/>
        <w:rPr>
          <w:sz w:val="24"/>
        </w:rPr>
      </w:pPr>
      <w:r>
        <w:rPr>
          <w:rFonts w:hint="eastAsia"/>
          <w:sz w:val="24"/>
        </w:rPr>
        <w:t>4、负责编制现金、银行存款周报表，妥善保管和按规定使用有关印章，保证货币资金的安全；</w:t>
      </w:r>
    </w:p>
    <w:p>
      <w:pPr>
        <w:spacing w:line="360" w:lineRule="auto"/>
        <w:ind w:firstLine="480" w:firstLineChars="200"/>
        <w:rPr>
          <w:sz w:val="24"/>
        </w:rPr>
      </w:pPr>
      <w:r>
        <w:rPr>
          <w:rFonts w:hint="eastAsia"/>
          <w:sz w:val="24"/>
        </w:rPr>
        <w:t>5、配合会计申报缴纳各项税金，加强与税务部门沟通联系，了解和掌握最新的国家财政税收政策，负责管理各类发票，保管纳税申报表，向税务局报送资料等。</w:t>
      </w:r>
    </w:p>
    <w:p>
      <w:pPr>
        <w:spacing w:line="360" w:lineRule="auto"/>
        <w:ind w:firstLine="480" w:firstLineChars="200"/>
        <w:rPr>
          <w:sz w:val="24"/>
        </w:rPr>
      </w:pPr>
    </w:p>
    <w:p>
      <w:pPr>
        <w:spacing w:line="360" w:lineRule="auto"/>
        <w:ind w:firstLine="480" w:firstLineChars="200"/>
        <w:jc w:val="center"/>
        <w:rPr>
          <w:sz w:val="24"/>
        </w:rPr>
      </w:pPr>
      <w:r>
        <w:rPr>
          <w:rFonts w:hint="eastAsia"/>
          <w:sz w:val="24"/>
        </w:rPr>
        <w:t>第四节  会计管理制度</w:t>
      </w:r>
    </w:p>
    <w:p>
      <w:pPr>
        <w:spacing w:line="360" w:lineRule="auto"/>
        <w:ind w:firstLine="480" w:firstLineChars="200"/>
        <w:rPr>
          <w:sz w:val="24"/>
        </w:rPr>
      </w:pPr>
      <w:r>
        <w:rPr>
          <w:rFonts w:hint="eastAsia"/>
          <w:sz w:val="24"/>
        </w:rPr>
        <w:t>第一条 加强会计核算，提高会计工作质量，确保原始凭证的及时、准确、真实、合法，对不真实、不合法的原始凭证不予以受理，并及时向公司领导报告，请求查明原因并追究当事人的责任；</w:t>
      </w:r>
    </w:p>
    <w:p>
      <w:pPr>
        <w:spacing w:line="360" w:lineRule="auto"/>
        <w:ind w:firstLine="480" w:firstLineChars="200"/>
        <w:rPr>
          <w:sz w:val="24"/>
        </w:rPr>
      </w:pPr>
      <w:r>
        <w:rPr>
          <w:rFonts w:hint="eastAsia"/>
          <w:sz w:val="24"/>
        </w:rPr>
        <w:t>第二条 会计人员依据审批程序和权限对费用报销人的原始凭证进行审核，按相关规定给予报销；对记录不清、不准确、不完整的原始凭证，财务人员有权予以退回，要求经办人更正和补充，对伪造、故意毁灭会计资料或帐外设帐行为应制止和纠正，无效时应向主管领导报告并请求处理；</w:t>
      </w:r>
    </w:p>
    <w:p>
      <w:pPr>
        <w:spacing w:line="360" w:lineRule="auto"/>
        <w:ind w:firstLine="480" w:firstLineChars="200"/>
        <w:rPr>
          <w:sz w:val="24"/>
        </w:rPr>
      </w:pPr>
      <w:r>
        <w:rPr>
          <w:rFonts w:hint="eastAsia"/>
          <w:sz w:val="24"/>
        </w:rPr>
        <w:t>第三条 购进的固定资产、办公用品、低值易消耗品应建立购领登记制度，确保公司财产物资的安全与完整；</w:t>
      </w:r>
    </w:p>
    <w:p>
      <w:pPr>
        <w:spacing w:line="360" w:lineRule="auto"/>
        <w:ind w:firstLine="480" w:firstLineChars="200"/>
        <w:rPr>
          <w:sz w:val="24"/>
        </w:rPr>
      </w:pPr>
      <w:r>
        <w:rPr>
          <w:rFonts w:hint="eastAsia"/>
          <w:sz w:val="24"/>
        </w:rPr>
        <w:t>第四条 对开发项目的各项合法经济合同，有关部门必须报送财务部复印件备查，并具此作为支付款项的前提条件和财务监督依据；</w:t>
      </w:r>
    </w:p>
    <w:p>
      <w:pPr>
        <w:spacing w:line="360" w:lineRule="auto"/>
        <w:ind w:firstLine="480" w:firstLineChars="200"/>
        <w:rPr>
          <w:sz w:val="24"/>
        </w:rPr>
      </w:pPr>
      <w:r>
        <w:rPr>
          <w:rFonts w:hint="eastAsia"/>
          <w:sz w:val="24"/>
        </w:rPr>
        <w:t>第五条 完善各项财务规章制度，收支有章可寻，避免错误和误解，同时为加强财务管理和明确经济责任，保证公司的合法利益，对外的一切经济活动必须签定经济合同，合同标的额变化按规定程序和审批权限上报审批后确定。</w:t>
      </w:r>
    </w:p>
    <w:p>
      <w:pPr>
        <w:numPr>
          <w:ilvl w:val="0"/>
          <w:numId w:val="2"/>
        </w:numPr>
        <w:spacing w:line="360" w:lineRule="auto"/>
        <w:jc w:val="center"/>
        <w:rPr>
          <w:color w:val="FF0000"/>
          <w:sz w:val="24"/>
        </w:rPr>
      </w:pPr>
      <w:r>
        <w:rPr>
          <w:rFonts w:hint="eastAsia"/>
          <w:color w:val="FF0000"/>
          <w:sz w:val="24"/>
        </w:rPr>
        <w:t>财务审批报销制度</w:t>
      </w:r>
    </w:p>
    <w:p>
      <w:pPr>
        <w:spacing w:line="360" w:lineRule="auto"/>
        <w:ind w:firstLine="480" w:firstLineChars="200"/>
        <w:rPr>
          <w:sz w:val="24"/>
        </w:rPr>
      </w:pPr>
      <w:r>
        <w:rPr>
          <w:rFonts w:hint="eastAsia"/>
          <w:sz w:val="24"/>
        </w:rPr>
        <w:t>第一条 为加强财务管理，严格控制成本费用支出，保证经营收入的实现，促进提高经济效益，制定本制度。</w:t>
      </w:r>
    </w:p>
    <w:p>
      <w:pPr>
        <w:spacing w:line="360" w:lineRule="auto"/>
        <w:ind w:firstLine="480" w:firstLineChars="200"/>
        <w:rPr>
          <w:sz w:val="24"/>
        </w:rPr>
      </w:pPr>
      <w:r>
        <w:rPr>
          <w:rFonts w:hint="eastAsia"/>
          <w:sz w:val="24"/>
        </w:rPr>
        <w:t>第二条 公司对外签订的各项经济合同、协议和经批准用的各种资料必须报备财务部复印件。</w:t>
      </w:r>
    </w:p>
    <w:p>
      <w:pPr>
        <w:spacing w:line="360" w:lineRule="auto"/>
        <w:ind w:firstLine="480" w:firstLineChars="200"/>
        <w:rPr>
          <w:sz w:val="24"/>
        </w:rPr>
      </w:pPr>
      <w:r>
        <w:rPr>
          <w:rFonts w:hint="eastAsia"/>
          <w:sz w:val="24"/>
        </w:rPr>
        <w:t>第三条 申请用款：现金（含现金支票）、银行支票（转账支付）两种；各项费用支出严格控制现金使用，员工差旅费、零星采购物品可借现金，特殊情况需现金支出需提前通知财务部并说明用途，其他款项原则上由</w:t>
      </w:r>
      <w:r>
        <w:rPr>
          <w:rFonts w:hint="eastAsia"/>
          <w:sz w:val="24"/>
          <w:highlight w:val="red"/>
        </w:rPr>
        <w:t>银行对</w:t>
      </w:r>
      <w:r>
        <w:rPr>
          <w:rFonts w:hint="eastAsia"/>
          <w:b/>
          <w:bCs/>
          <w:sz w:val="24"/>
          <w:highlight w:val="red"/>
        </w:rPr>
        <w:t>工</w:t>
      </w:r>
      <w:r>
        <w:rPr>
          <w:rFonts w:hint="eastAsia"/>
          <w:sz w:val="24"/>
          <w:highlight w:val="red"/>
        </w:rPr>
        <w:t>转账付款。</w:t>
      </w:r>
    </w:p>
    <w:p>
      <w:pPr>
        <w:spacing w:line="360" w:lineRule="auto"/>
        <w:ind w:firstLine="480" w:firstLineChars="200"/>
        <w:rPr>
          <w:rFonts w:ascii="Arial" w:hAnsi="Arial" w:cs="Arial"/>
          <w:sz w:val="24"/>
        </w:rPr>
      </w:pPr>
      <w:r>
        <w:rPr>
          <w:rFonts w:hint="eastAsia"/>
          <w:sz w:val="24"/>
          <w:highlight w:val="yellow"/>
        </w:rPr>
        <w:t>申请流程：经办人</w:t>
      </w:r>
      <w:r>
        <w:rPr>
          <w:rFonts w:ascii="Arial" w:hAnsi="Arial" w:cs="Arial"/>
          <w:sz w:val="24"/>
          <w:highlight w:val="yellow"/>
        </w:rPr>
        <w:t>→</w:t>
      </w:r>
      <w:r>
        <w:rPr>
          <w:rFonts w:hint="eastAsia" w:ascii="Arial" w:hAnsi="Arial" w:cs="Arial"/>
          <w:sz w:val="24"/>
          <w:highlight w:val="yellow"/>
        </w:rPr>
        <w:t>部门负责人</w:t>
      </w:r>
      <w:r>
        <w:rPr>
          <w:rFonts w:ascii="Arial" w:hAnsi="Arial" w:cs="Arial"/>
          <w:sz w:val="24"/>
          <w:highlight w:val="yellow"/>
        </w:rPr>
        <w:t>→</w:t>
      </w:r>
      <w:r>
        <w:rPr>
          <w:rFonts w:hint="eastAsia" w:ascii="Arial" w:hAnsi="Arial" w:cs="Arial"/>
          <w:sz w:val="24"/>
          <w:highlight w:val="yellow"/>
        </w:rPr>
        <w:t>财务部复核</w:t>
      </w:r>
      <w:r>
        <w:rPr>
          <w:rFonts w:ascii="Arial" w:hAnsi="Arial" w:cs="Arial"/>
          <w:sz w:val="24"/>
          <w:highlight w:val="yellow"/>
        </w:rPr>
        <w:t>→</w:t>
      </w:r>
      <w:r>
        <w:rPr>
          <w:rFonts w:hint="eastAsia" w:ascii="Arial" w:hAnsi="Arial" w:cs="Arial"/>
          <w:sz w:val="24"/>
          <w:highlight w:val="yellow"/>
        </w:rPr>
        <w:t>财务总监</w:t>
      </w:r>
      <w:r>
        <w:rPr>
          <w:rFonts w:ascii="Arial" w:hAnsi="Arial" w:cs="Arial"/>
          <w:sz w:val="24"/>
          <w:highlight w:val="yellow"/>
        </w:rPr>
        <w:t>→</w:t>
      </w:r>
      <w:r>
        <w:rPr>
          <w:rFonts w:hint="eastAsia" w:ascii="Arial" w:hAnsi="Arial" w:cs="Arial"/>
          <w:sz w:val="24"/>
          <w:highlight w:val="yellow"/>
        </w:rPr>
        <w:t>总经理</w:t>
      </w:r>
      <w:r>
        <w:rPr>
          <w:rFonts w:ascii="Arial" w:hAnsi="Arial" w:cs="Arial"/>
          <w:sz w:val="24"/>
          <w:highlight w:val="yellow"/>
        </w:rPr>
        <w:t>→</w:t>
      </w:r>
      <w:r>
        <w:rPr>
          <w:rFonts w:hint="eastAsia" w:ascii="Arial" w:hAnsi="Arial" w:cs="Arial"/>
          <w:sz w:val="24"/>
          <w:highlight w:val="yellow"/>
        </w:rPr>
        <w:t>出纳办理。</w:t>
      </w:r>
    </w:p>
    <w:p>
      <w:pPr>
        <w:spacing w:line="360" w:lineRule="auto"/>
        <w:ind w:firstLine="480" w:firstLineChars="200"/>
        <w:rPr>
          <w:rFonts w:ascii="Arial" w:hAnsi="Arial" w:cs="Arial"/>
          <w:sz w:val="24"/>
        </w:rPr>
      </w:pPr>
      <w:r>
        <w:rPr>
          <w:rFonts w:hint="eastAsia" w:ascii="Arial" w:hAnsi="Arial" w:cs="Arial"/>
          <w:sz w:val="24"/>
        </w:rPr>
        <w:t xml:space="preserve">第四条 </w:t>
      </w:r>
      <w:r>
        <w:rPr>
          <w:rFonts w:hint="eastAsia" w:ascii="Arial" w:hAnsi="Arial" w:cs="Arial"/>
          <w:sz w:val="24"/>
          <w:highlight w:val="yellow"/>
        </w:rPr>
        <w:t>对外经济合同</w:t>
      </w:r>
      <w:r>
        <w:rPr>
          <w:rFonts w:hint="eastAsia" w:ascii="Arial" w:hAnsi="Arial" w:cs="Arial"/>
          <w:sz w:val="24"/>
        </w:rPr>
        <w:t>签订、付款的审批权限和报销流程：</w:t>
      </w:r>
    </w:p>
    <w:p>
      <w:pPr>
        <w:spacing w:line="360" w:lineRule="auto"/>
        <w:ind w:firstLine="480" w:firstLineChars="200"/>
        <w:rPr>
          <w:rFonts w:ascii="Arial" w:hAnsi="Arial" w:cs="Arial"/>
          <w:sz w:val="24"/>
          <w:highlight w:val="yellow"/>
        </w:rPr>
      </w:pPr>
      <w:r>
        <w:rPr>
          <w:rFonts w:hint="eastAsia" w:ascii="Arial" w:hAnsi="Arial" w:cs="Arial"/>
          <w:sz w:val="24"/>
          <w:highlight w:val="yellow"/>
        </w:rPr>
        <w:t>审批权限：业务部门</w:t>
      </w:r>
      <w:r>
        <w:rPr>
          <w:rFonts w:ascii="Arial" w:hAnsi="Arial" w:cs="Arial"/>
          <w:sz w:val="24"/>
          <w:highlight w:val="yellow"/>
        </w:rPr>
        <w:t>→</w:t>
      </w:r>
      <w:r>
        <w:rPr>
          <w:rFonts w:hint="eastAsia" w:ascii="Arial" w:hAnsi="Arial" w:cs="Arial"/>
          <w:sz w:val="24"/>
          <w:highlight w:val="yellow"/>
        </w:rPr>
        <w:t>主管副总</w:t>
      </w:r>
      <w:r>
        <w:rPr>
          <w:rFonts w:ascii="Arial" w:hAnsi="Arial" w:cs="Arial"/>
          <w:sz w:val="24"/>
          <w:highlight w:val="yellow"/>
        </w:rPr>
        <w:t>→</w:t>
      </w:r>
      <w:r>
        <w:rPr>
          <w:rFonts w:hint="eastAsia" w:ascii="Arial" w:hAnsi="Arial" w:cs="Arial"/>
          <w:sz w:val="24"/>
          <w:highlight w:val="yellow"/>
        </w:rPr>
        <w:t>财务总监</w:t>
      </w:r>
      <w:r>
        <w:rPr>
          <w:rFonts w:ascii="Arial" w:hAnsi="Arial" w:cs="Arial"/>
          <w:sz w:val="24"/>
          <w:highlight w:val="yellow"/>
        </w:rPr>
        <w:t>→</w:t>
      </w:r>
      <w:r>
        <w:rPr>
          <w:rFonts w:hint="eastAsia" w:ascii="Arial" w:hAnsi="Arial" w:cs="Arial"/>
          <w:sz w:val="24"/>
          <w:highlight w:val="yellow"/>
        </w:rPr>
        <w:t>总经理审批</w:t>
      </w:r>
    </w:p>
    <w:p>
      <w:pPr>
        <w:spacing w:line="360" w:lineRule="auto"/>
        <w:ind w:firstLine="480" w:firstLineChars="200"/>
        <w:rPr>
          <w:rFonts w:ascii="Arial" w:hAnsi="Arial" w:cs="Arial"/>
          <w:sz w:val="24"/>
        </w:rPr>
      </w:pPr>
      <w:r>
        <w:rPr>
          <w:rFonts w:hint="eastAsia" w:ascii="Arial" w:hAnsi="Arial" w:cs="Arial"/>
          <w:sz w:val="24"/>
          <w:highlight w:val="yellow"/>
        </w:rPr>
        <w:t>报销流程：</w:t>
      </w:r>
      <w:r>
        <w:rPr>
          <w:rFonts w:hint="eastAsia"/>
          <w:sz w:val="24"/>
          <w:highlight w:val="yellow"/>
        </w:rPr>
        <w:t>经办人</w:t>
      </w:r>
      <w:r>
        <w:rPr>
          <w:rFonts w:ascii="Arial" w:hAnsi="Arial" w:cs="Arial"/>
          <w:sz w:val="24"/>
          <w:highlight w:val="yellow"/>
        </w:rPr>
        <w:t>→</w:t>
      </w:r>
      <w:r>
        <w:rPr>
          <w:rFonts w:hint="eastAsia" w:ascii="Arial" w:hAnsi="Arial" w:cs="Arial"/>
          <w:sz w:val="24"/>
          <w:highlight w:val="yellow"/>
        </w:rPr>
        <w:t>部门负责人</w:t>
      </w:r>
      <w:r>
        <w:rPr>
          <w:rFonts w:ascii="Arial" w:hAnsi="Arial" w:cs="Arial"/>
          <w:sz w:val="24"/>
          <w:highlight w:val="yellow"/>
        </w:rPr>
        <w:t>→</w:t>
      </w:r>
      <w:r>
        <w:rPr>
          <w:rFonts w:hint="eastAsia" w:ascii="Arial" w:hAnsi="Arial" w:cs="Arial"/>
          <w:sz w:val="24"/>
          <w:highlight w:val="yellow"/>
        </w:rPr>
        <w:t>财务部复核</w:t>
      </w:r>
      <w:r>
        <w:rPr>
          <w:rFonts w:ascii="Arial" w:hAnsi="Arial" w:cs="Arial"/>
          <w:sz w:val="24"/>
          <w:highlight w:val="yellow"/>
        </w:rPr>
        <w:t>→</w:t>
      </w:r>
      <w:r>
        <w:rPr>
          <w:rFonts w:hint="eastAsia" w:ascii="Arial" w:hAnsi="Arial" w:cs="Arial"/>
          <w:sz w:val="24"/>
          <w:highlight w:val="yellow"/>
        </w:rPr>
        <w:t>财务总监</w:t>
      </w:r>
      <w:r>
        <w:rPr>
          <w:rFonts w:ascii="Arial" w:hAnsi="Arial" w:cs="Arial"/>
          <w:sz w:val="24"/>
          <w:highlight w:val="yellow"/>
        </w:rPr>
        <w:t>→</w:t>
      </w:r>
      <w:r>
        <w:rPr>
          <w:rFonts w:hint="eastAsia" w:ascii="Arial" w:hAnsi="Arial" w:cs="Arial"/>
          <w:sz w:val="24"/>
          <w:highlight w:val="yellow"/>
        </w:rPr>
        <w:t>总经理</w:t>
      </w:r>
      <w:r>
        <w:rPr>
          <w:rFonts w:ascii="Arial" w:hAnsi="Arial" w:cs="Arial"/>
          <w:sz w:val="24"/>
          <w:highlight w:val="yellow"/>
        </w:rPr>
        <w:t>→</w:t>
      </w:r>
      <w:r>
        <w:rPr>
          <w:rFonts w:hint="eastAsia" w:ascii="Arial" w:hAnsi="Arial" w:cs="Arial"/>
          <w:sz w:val="24"/>
          <w:highlight w:val="yellow"/>
        </w:rPr>
        <w:t>出纳办理。</w:t>
      </w:r>
    </w:p>
    <w:p>
      <w:pPr>
        <w:spacing w:line="360" w:lineRule="auto"/>
        <w:ind w:firstLine="480" w:firstLineChars="200"/>
        <w:rPr>
          <w:rFonts w:ascii="Arial" w:hAnsi="Arial" w:cs="Arial"/>
          <w:sz w:val="24"/>
        </w:rPr>
      </w:pPr>
      <w:r>
        <w:rPr>
          <w:rFonts w:hint="eastAsia" w:ascii="Arial" w:hAnsi="Arial" w:cs="Arial"/>
          <w:sz w:val="24"/>
        </w:rPr>
        <w:t>第五条 购置固定资产的审批权限和报销流程：</w:t>
      </w:r>
    </w:p>
    <w:p>
      <w:pPr>
        <w:spacing w:line="360" w:lineRule="auto"/>
        <w:ind w:firstLine="480" w:firstLineChars="200"/>
        <w:rPr>
          <w:rFonts w:ascii="Arial" w:hAnsi="Arial" w:cs="Arial"/>
          <w:sz w:val="24"/>
        </w:rPr>
      </w:pPr>
      <w:r>
        <w:rPr>
          <w:rFonts w:hint="eastAsia" w:ascii="Arial" w:hAnsi="Arial" w:cs="Arial"/>
          <w:sz w:val="24"/>
        </w:rPr>
        <w:t>单项固定资产购置由公司办公室</w:t>
      </w:r>
      <w:r>
        <w:rPr>
          <w:rFonts w:ascii="Arial" w:hAnsi="Arial" w:cs="Arial"/>
          <w:sz w:val="24"/>
        </w:rPr>
        <w:t>→</w:t>
      </w:r>
      <w:r>
        <w:rPr>
          <w:rFonts w:hint="eastAsia" w:ascii="Arial" w:hAnsi="Arial" w:cs="Arial"/>
          <w:sz w:val="24"/>
        </w:rPr>
        <w:t>部门主管</w:t>
      </w:r>
      <w:r>
        <w:rPr>
          <w:rFonts w:ascii="Arial" w:hAnsi="Arial" w:cs="Arial"/>
          <w:sz w:val="24"/>
        </w:rPr>
        <w:t>→</w:t>
      </w:r>
      <w:r>
        <w:rPr>
          <w:rFonts w:hint="eastAsia" w:ascii="Arial" w:hAnsi="Arial" w:cs="Arial"/>
          <w:sz w:val="24"/>
        </w:rPr>
        <w:t>财务总监</w:t>
      </w:r>
      <w:r>
        <w:rPr>
          <w:rFonts w:ascii="Arial" w:hAnsi="Arial" w:cs="Arial"/>
          <w:sz w:val="24"/>
        </w:rPr>
        <w:t>→</w:t>
      </w:r>
      <w:r>
        <w:rPr>
          <w:rFonts w:hint="eastAsia" w:ascii="Arial" w:hAnsi="Arial" w:cs="Arial"/>
          <w:sz w:val="24"/>
        </w:rPr>
        <w:t>总经理审批；</w:t>
      </w:r>
    </w:p>
    <w:p>
      <w:pPr>
        <w:spacing w:line="360" w:lineRule="auto"/>
        <w:ind w:firstLine="480" w:firstLineChars="200"/>
        <w:rPr>
          <w:rFonts w:ascii="Arial" w:hAnsi="Arial" w:cs="Arial"/>
          <w:sz w:val="24"/>
        </w:rPr>
      </w:pPr>
      <w:r>
        <w:rPr>
          <w:rFonts w:hint="eastAsia" w:ascii="Arial" w:hAnsi="Arial" w:cs="Arial"/>
          <w:sz w:val="24"/>
        </w:rPr>
        <w:t>报销流程：</w:t>
      </w:r>
      <w:r>
        <w:rPr>
          <w:rFonts w:hint="eastAsia"/>
          <w:sz w:val="24"/>
        </w:rPr>
        <w:t>经办人</w:t>
      </w:r>
      <w:r>
        <w:rPr>
          <w:rFonts w:ascii="Arial" w:hAnsi="Arial" w:cs="Arial"/>
          <w:sz w:val="24"/>
        </w:rPr>
        <w:t>→</w:t>
      </w:r>
      <w:r>
        <w:rPr>
          <w:rFonts w:hint="eastAsia" w:ascii="Arial" w:hAnsi="Arial" w:cs="Arial"/>
          <w:sz w:val="24"/>
        </w:rPr>
        <w:t>部门负责人</w:t>
      </w:r>
      <w:r>
        <w:rPr>
          <w:rFonts w:ascii="Arial" w:hAnsi="Arial" w:cs="Arial"/>
          <w:sz w:val="24"/>
        </w:rPr>
        <w:t>→</w:t>
      </w:r>
      <w:r>
        <w:rPr>
          <w:rFonts w:hint="eastAsia" w:ascii="Arial" w:hAnsi="Arial" w:cs="Arial"/>
          <w:sz w:val="24"/>
        </w:rPr>
        <w:t>财务部复核</w:t>
      </w:r>
      <w:r>
        <w:rPr>
          <w:rFonts w:ascii="Arial" w:hAnsi="Arial" w:cs="Arial"/>
          <w:sz w:val="24"/>
        </w:rPr>
        <w:t>→</w:t>
      </w:r>
      <w:r>
        <w:rPr>
          <w:rFonts w:hint="eastAsia" w:ascii="Arial" w:hAnsi="Arial" w:cs="Arial"/>
          <w:sz w:val="24"/>
        </w:rPr>
        <w:t>财务总监</w:t>
      </w:r>
      <w:r>
        <w:rPr>
          <w:rFonts w:ascii="Arial" w:hAnsi="Arial" w:cs="Arial"/>
          <w:sz w:val="24"/>
        </w:rPr>
        <w:t>→</w:t>
      </w:r>
      <w:r>
        <w:rPr>
          <w:rFonts w:hint="eastAsia" w:ascii="Arial" w:hAnsi="Arial" w:cs="Arial"/>
          <w:sz w:val="24"/>
        </w:rPr>
        <w:t>总经理</w:t>
      </w:r>
      <w:r>
        <w:rPr>
          <w:rFonts w:ascii="Arial" w:hAnsi="Arial" w:cs="Arial"/>
          <w:sz w:val="24"/>
        </w:rPr>
        <w:t>→</w:t>
      </w:r>
      <w:r>
        <w:rPr>
          <w:rFonts w:hint="eastAsia" w:ascii="Arial" w:hAnsi="Arial" w:cs="Arial"/>
          <w:sz w:val="24"/>
        </w:rPr>
        <w:t>出纳办理。</w:t>
      </w:r>
    </w:p>
    <w:p>
      <w:pPr>
        <w:spacing w:line="360" w:lineRule="auto"/>
        <w:ind w:firstLine="480" w:firstLineChars="200"/>
        <w:rPr>
          <w:rFonts w:ascii="Arial" w:hAnsi="Arial" w:cs="Arial"/>
          <w:sz w:val="24"/>
        </w:rPr>
      </w:pPr>
      <w:r>
        <w:rPr>
          <w:rFonts w:hint="eastAsia" w:ascii="Arial" w:hAnsi="Arial" w:cs="Arial"/>
          <w:sz w:val="24"/>
        </w:rPr>
        <w:t>（须填写购置固定资产审批表）</w:t>
      </w:r>
    </w:p>
    <w:p>
      <w:pPr>
        <w:spacing w:line="360" w:lineRule="auto"/>
        <w:ind w:firstLine="480" w:firstLineChars="200"/>
        <w:rPr>
          <w:rFonts w:ascii="Arial" w:hAnsi="Arial" w:cs="Arial"/>
          <w:sz w:val="24"/>
        </w:rPr>
      </w:pPr>
      <w:r>
        <w:rPr>
          <w:rFonts w:hint="eastAsia" w:ascii="Arial" w:hAnsi="Arial" w:cs="Arial"/>
          <w:sz w:val="24"/>
        </w:rPr>
        <w:t>第六条 经营管理费用审批权限及报销程序</w:t>
      </w:r>
    </w:p>
    <w:p>
      <w:pPr>
        <w:spacing w:line="360" w:lineRule="auto"/>
        <w:ind w:firstLine="480" w:firstLineChars="200"/>
        <w:rPr>
          <w:rFonts w:ascii="Arial" w:hAnsi="Arial" w:cs="Arial"/>
          <w:sz w:val="24"/>
        </w:rPr>
      </w:pPr>
      <w:r>
        <w:rPr>
          <w:rFonts w:hint="eastAsia" w:ascii="Arial" w:hAnsi="Arial" w:cs="Arial"/>
          <w:sz w:val="24"/>
        </w:rPr>
        <w:t>审批权限及报销程序：</w:t>
      </w:r>
    </w:p>
    <w:p>
      <w:pPr>
        <w:spacing w:line="360" w:lineRule="auto"/>
        <w:ind w:firstLine="480" w:firstLineChars="200"/>
        <w:rPr>
          <w:rFonts w:ascii="Arial" w:hAnsi="Arial" w:cs="Arial"/>
          <w:sz w:val="24"/>
        </w:rPr>
      </w:pPr>
      <w:r>
        <w:rPr>
          <w:rFonts w:hint="eastAsia" w:ascii="Arial" w:hAnsi="Arial" w:cs="Arial"/>
          <w:sz w:val="24"/>
        </w:rPr>
        <w:t>业务招待费：经办人</w:t>
      </w:r>
      <w:r>
        <w:rPr>
          <w:rFonts w:ascii="Arial" w:hAnsi="Arial" w:cs="Arial"/>
          <w:sz w:val="24"/>
        </w:rPr>
        <w:t>→</w:t>
      </w:r>
      <w:r>
        <w:rPr>
          <w:rFonts w:hint="eastAsia" w:ascii="Arial" w:hAnsi="Arial" w:cs="Arial"/>
          <w:sz w:val="24"/>
        </w:rPr>
        <w:t>部门负责人</w:t>
      </w:r>
      <w:r>
        <w:rPr>
          <w:rFonts w:ascii="Arial" w:hAnsi="Arial" w:cs="Arial"/>
          <w:sz w:val="24"/>
        </w:rPr>
        <w:t>→</w:t>
      </w:r>
      <w:r>
        <w:rPr>
          <w:rFonts w:hint="eastAsia" w:ascii="Arial" w:hAnsi="Arial" w:cs="Arial"/>
          <w:sz w:val="24"/>
        </w:rPr>
        <w:t>财务部复核</w:t>
      </w:r>
      <w:r>
        <w:rPr>
          <w:rFonts w:ascii="Arial" w:hAnsi="Arial" w:cs="Arial"/>
          <w:sz w:val="24"/>
        </w:rPr>
        <w:t>→</w:t>
      </w:r>
      <w:r>
        <w:rPr>
          <w:rFonts w:hint="eastAsia" w:ascii="Arial" w:hAnsi="Arial" w:cs="Arial"/>
          <w:sz w:val="24"/>
        </w:rPr>
        <w:t>财务总监</w:t>
      </w:r>
      <w:r>
        <w:rPr>
          <w:rFonts w:ascii="Arial" w:hAnsi="Arial" w:cs="Arial"/>
          <w:sz w:val="24"/>
        </w:rPr>
        <w:t>→</w:t>
      </w:r>
      <w:r>
        <w:rPr>
          <w:rFonts w:hint="eastAsia" w:ascii="Arial" w:hAnsi="Arial" w:cs="Arial"/>
          <w:sz w:val="24"/>
        </w:rPr>
        <w:t>总经理</w:t>
      </w:r>
      <w:r>
        <w:rPr>
          <w:rFonts w:ascii="Arial" w:hAnsi="Arial" w:cs="Arial"/>
          <w:sz w:val="24"/>
        </w:rPr>
        <w:t>→</w:t>
      </w:r>
      <w:r>
        <w:rPr>
          <w:rFonts w:hint="eastAsia" w:ascii="Arial" w:hAnsi="Arial" w:cs="Arial"/>
          <w:sz w:val="24"/>
        </w:rPr>
        <w:t>出纳办理。</w:t>
      </w:r>
    </w:p>
    <w:p>
      <w:pPr>
        <w:spacing w:line="360" w:lineRule="auto"/>
        <w:rPr>
          <w:rFonts w:ascii="Arial" w:hAnsi="Arial" w:cs="Arial"/>
          <w:sz w:val="24"/>
        </w:rPr>
      </w:pPr>
      <w:r>
        <w:rPr>
          <w:rFonts w:hint="eastAsia" w:ascii="Arial" w:hAnsi="Arial" w:cs="Arial"/>
          <w:sz w:val="24"/>
        </w:rPr>
        <w:t>（须填写业务接待情况说明表）</w:t>
      </w:r>
    </w:p>
    <w:p>
      <w:pPr>
        <w:spacing w:line="360" w:lineRule="auto"/>
        <w:ind w:firstLine="480" w:firstLineChars="200"/>
        <w:rPr>
          <w:rFonts w:ascii="Arial" w:hAnsi="Arial" w:cs="Arial"/>
          <w:sz w:val="24"/>
        </w:rPr>
      </w:pPr>
      <w:r>
        <w:rPr>
          <w:rFonts w:hint="eastAsia" w:ascii="Arial" w:hAnsi="Arial" w:cs="Arial"/>
          <w:sz w:val="24"/>
        </w:rPr>
        <w:t>差旅费：经办人</w:t>
      </w:r>
      <w:r>
        <w:rPr>
          <w:rFonts w:ascii="Arial" w:hAnsi="Arial" w:cs="Arial"/>
          <w:sz w:val="24"/>
        </w:rPr>
        <w:t>→</w:t>
      </w:r>
      <w:r>
        <w:rPr>
          <w:rFonts w:hint="eastAsia" w:ascii="Arial" w:hAnsi="Arial" w:cs="Arial"/>
          <w:sz w:val="24"/>
        </w:rPr>
        <w:t>部门负责人</w:t>
      </w:r>
      <w:r>
        <w:rPr>
          <w:rFonts w:ascii="Arial" w:hAnsi="Arial" w:cs="Arial"/>
          <w:sz w:val="24"/>
        </w:rPr>
        <w:t>→</w:t>
      </w:r>
      <w:r>
        <w:rPr>
          <w:rFonts w:hint="eastAsia" w:ascii="Arial" w:hAnsi="Arial" w:cs="Arial"/>
          <w:sz w:val="24"/>
        </w:rPr>
        <w:t>财务部复核</w:t>
      </w:r>
      <w:r>
        <w:rPr>
          <w:rFonts w:ascii="Arial" w:hAnsi="Arial" w:cs="Arial"/>
          <w:sz w:val="24"/>
        </w:rPr>
        <w:t>→</w:t>
      </w:r>
      <w:r>
        <w:rPr>
          <w:rFonts w:hint="eastAsia" w:ascii="Arial" w:hAnsi="Arial" w:cs="Arial"/>
          <w:sz w:val="24"/>
        </w:rPr>
        <w:t>财务总监</w:t>
      </w:r>
      <w:r>
        <w:rPr>
          <w:rFonts w:ascii="Arial" w:hAnsi="Arial" w:cs="Arial"/>
          <w:sz w:val="24"/>
        </w:rPr>
        <w:t>→</w:t>
      </w:r>
      <w:r>
        <w:rPr>
          <w:rFonts w:hint="eastAsia" w:ascii="Arial" w:hAnsi="Arial" w:cs="Arial"/>
          <w:sz w:val="24"/>
        </w:rPr>
        <w:t>总经理</w:t>
      </w:r>
      <w:r>
        <w:rPr>
          <w:rFonts w:ascii="Arial" w:hAnsi="Arial" w:cs="Arial"/>
          <w:sz w:val="24"/>
        </w:rPr>
        <w:t>→</w:t>
      </w:r>
      <w:r>
        <w:rPr>
          <w:rFonts w:hint="eastAsia" w:ascii="Arial" w:hAnsi="Arial" w:cs="Arial"/>
          <w:sz w:val="24"/>
        </w:rPr>
        <w:t>出纳办理。</w:t>
      </w:r>
    </w:p>
    <w:p>
      <w:pPr>
        <w:spacing w:line="360" w:lineRule="auto"/>
        <w:rPr>
          <w:rFonts w:ascii="Arial" w:hAnsi="Arial" w:cs="Arial"/>
          <w:sz w:val="24"/>
        </w:rPr>
      </w:pPr>
      <w:r>
        <w:rPr>
          <w:rFonts w:hint="eastAsia" w:ascii="Arial" w:hAnsi="Arial" w:cs="Arial"/>
          <w:sz w:val="24"/>
        </w:rPr>
        <w:t>（须填写出差情况说明表）</w:t>
      </w:r>
    </w:p>
    <w:p>
      <w:pPr>
        <w:spacing w:line="360" w:lineRule="auto"/>
        <w:ind w:firstLine="480" w:firstLineChars="200"/>
        <w:rPr>
          <w:rFonts w:ascii="Arial" w:hAnsi="Arial" w:cs="Arial"/>
          <w:sz w:val="24"/>
        </w:rPr>
      </w:pPr>
      <w:r>
        <w:rPr>
          <w:rFonts w:hint="eastAsia" w:ascii="Arial" w:hAnsi="Arial" w:cs="Arial"/>
          <w:sz w:val="24"/>
        </w:rPr>
        <w:t>其他管理费用：经办人</w:t>
      </w:r>
      <w:r>
        <w:rPr>
          <w:rFonts w:ascii="Arial" w:hAnsi="Arial" w:cs="Arial"/>
          <w:sz w:val="24"/>
        </w:rPr>
        <w:t>→</w:t>
      </w:r>
      <w:r>
        <w:rPr>
          <w:rFonts w:hint="eastAsia" w:ascii="Arial" w:hAnsi="Arial" w:cs="Arial"/>
          <w:sz w:val="24"/>
        </w:rPr>
        <w:t>部门负责人</w:t>
      </w:r>
      <w:r>
        <w:rPr>
          <w:rFonts w:ascii="Arial" w:hAnsi="Arial" w:cs="Arial"/>
          <w:sz w:val="24"/>
        </w:rPr>
        <w:t>→</w:t>
      </w:r>
      <w:r>
        <w:rPr>
          <w:rFonts w:hint="eastAsia" w:ascii="Arial" w:hAnsi="Arial" w:cs="Arial"/>
          <w:sz w:val="24"/>
        </w:rPr>
        <w:t>财务部复核</w:t>
      </w:r>
      <w:r>
        <w:rPr>
          <w:rFonts w:ascii="Arial" w:hAnsi="Arial" w:cs="Arial"/>
          <w:sz w:val="24"/>
        </w:rPr>
        <w:t>→</w:t>
      </w:r>
      <w:r>
        <w:rPr>
          <w:rFonts w:hint="eastAsia" w:ascii="Arial" w:hAnsi="Arial" w:cs="Arial"/>
          <w:sz w:val="24"/>
        </w:rPr>
        <w:t>财务总监</w:t>
      </w:r>
      <w:r>
        <w:rPr>
          <w:rFonts w:ascii="Arial" w:hAnsi="Arial" w:cs="Arial"/>
          <w:sz w:val="24"/>
        </w:rPr>
        <w:t>→</w:t>
      </w:r>
      <w:r>
        <w:rPr>
          <w:rFonts w:hint="eastAsia" w:ascii="Arial" w:hAnsi="Arial" w:cs="Arial"/>
          <w:sz w:val="24"/>
        </w:rPr>
        <w:t>总经理</w:t>
      </w:r>
      <w:r>
        <w:rPr>
          <w:rFonts w:ascii="Arial" w:hAnsi="Arial" w:cs="Arial"/>
          <w:sz w:val="24"/>
        </w:rPr>
        <w:t>→</w:t>
      </w:r>
      <w:r>
        <w:rPr>
          <w:rFonts w:hint="eastAsia" w:ascii="Arial" w:hAnsi="Arial" w:cs="Arial"/>
          <w:sz w:val="24"/>
        </w:rPr>
        <w:t>出纳办理。</w:t>
      </w:r>
      <w:r>
        <w:rPr>
          <w:rFonts w:hint="eastAsia" w:ascii="Arial" w:hAnsi="Arial" w:cs="Arial"/>
          <w:sz w:val="24"/>
          <w:lang w:eastAsia="zh-CN"/>
        </w:rPr>
        <w:t>提</w:t>
      </w:r>
      <w:r>
        <w:rPr>
          <w:rFonts w:hint="eastAsia" w:ascii="Arial" w:hAnsi="Arial" w:cs="Arial"/>
          <w:sz w:val="24"/>
          <w:highlight w:val="red"/>
          <w:lang w:eastAsia="zh-CN"/>
        </w:rPr>
        <w:t>供真实有效的原始凭证（发票、车票等）</w:t>
      </w:r>
    </w:p>
    <w:p>
      <w:pPr>
        <w:spacing w:line="360" w:lineRule="auto"/>
        <w:ind w:firstLine="480" w:firstLineChars="200"/>
        <w:rPr>
          <w:sz w:val="24"/>
        </w:rPr>
      </w:pPr>
      <w:r>
        <w:rPr>
          <w:rFonts w:hint="eastAsia"/>
          <w:sz w:val="24"/>
        </w:rPr>
        <w:t>第七条 申请用款程序</w:t>
      </w:r>
    </w:p>
    <w:p>
      <w:pPr>
        <w:spacing w:line="360" w:lineRule="auto"/>
        <w:rPr>
          <w:sz w:val="24"/>
        </w:rPr>
      </w:pPr>
      <w:r>
        <w:rPr>
          <w:rFonts w:hint="eastAsia"/>
          <w:sz w:val="24"/>
        </w:rPr>
        <w:t>现金借款：</w:t>
      </w:r>
    </w:p>
    <w:p>
      <w:pPr>
        <w:spacing w:line="360" w:lineRule="auto"/>
        <w:ind w:firstLine="480" w:firstLineChars="200"/>
        <w:rPr>
          <w:sz w:val="24"/>
        </w:rPr>
      </w:pPr>
      <w:r>
        <w:rPr>
          <w:rFonts w:hint="eastAsia"/>
          <w:sz w:val="24"/>
        </w:rPr>
        <w:t>经办人→填写“现金借款单”→部门负责人→财务总监→总经理批准后→财务部审核→出纳办理；现金借款必须及时办理报销手续，同时结清借款余额；</w:t>
      </w:r>
    </w:p>
    <w:p>
      <w:pPr>
        <w:spacing w:line="360" w:lineRule="auto"/>
        <w:rPr>
          <w:sz w:val="24"/>
        </w:rPr>
      </w:pPr>
      <w:r>
        <w:rPr>
          <w:rFonts w:hint="eastAsia"/>
          <w:sz w:val="24"/>
        </w:rPr>
        <w:t>领用银行支票：</w:t>
      </w:r>
    </w:p>
    <w:p>
      <w:pPr>
        <w:spacing w:line="360" w:lineRule="auto"/>
        <w:ind w:firstLine="480" w:firstLineChars="200"/>
        <w:rPr>
          <w:sz w:val="24"/>
        </w:rPr>
      </w:pPr>
      <w:r>
        <w:rPr>
          <w:rFonts w:hint="eastAsia"/>
          <w:sz w:val="24"/>
        </w:rPr>
        <w:t>经办人→填写“领用支票审批单”或“付款申请单”（同时提供收款单位全称、开户银行及银行帐号）→部门负责人→主管副总→财务总监→总经理批准后→财务部审核→出纳办理；属工程项目合同付款的必须同时附有经审核合法的结算凭证；</w:t>
      </w:r>
    </w:p>
    <w:p>
      <w:pPr>
        <w:spacing w:line="360" w:lineRule="auto"/>
        <w:ind w:firstLine="480" w:firstLineChars="200"/>
        <w:rPr>
          <w:sz w:val="24"/>
        </w:rPr>
      </w:pPr>
      <w:r>
        <w:rPr>
          <w:rFonts w:hint="eastAsia"/>
          <w:sz w:val="24"/>
        </w:rPr>
        <w:t>第八条  部门负责人以上借款和报销费用，由其本人上报主管领导→报审批权限人审批；</w:t>
      </w:r>
    </w:p>
    <w:p>
      <w:pPr>
        <w:spacing w:line="360" w:lineRule="auto"/>
        <w:ind w:firstLine="480" w:firstLineChars="200"/>
        <w:rPr>
          <w:sz w:val="24"/>
        </w:rPr>
      </w:pPr>
      <w:r>
        <w:rPr>
          <w:rFonts w:hint="eastAsia"/>
          <w:sz w:val="24"/>
        </w:rPr>
        <w:t>第九条  公司购置办公用品及低值易耗品，由公司办公室根据需要统一安排采购，同时建立购入和领出登记帐，因个别部门特殊需要自行采购的必须提前报公司办公室→报审批权限人批准后另行购置。经办人购置时必须取得正规发票和清单按规定办理登记领用手续后，方可办理报销手续；</w:t>
      </w:r>
    </w:p>
    <w:p>
      <w:pPr>
        <w:spacing w:line="360" w:lineRule="auto"/>
        <w:ind w:firstLine="480" w:firstLineChars="200"/>
        <w:rPr>
          <w:sz w:val="24"/>
        </w:rPr>
      </w:pPr>
      <w:r>
        <w:rPr>
          <w:rFonts w:hint="eastAsia"/>
          <w:sz w:val="24"/>
        </w:rPr>
        <w:t>第十条 按照财务管理规定，现金做到日清月结；</w:t>
      </w:r>
    </w:p>
    <w:p>
      <w:pPr>
        <w:spacing w:line="360" w:lineRule="auto"/>
        <w:ind w:firstLine="480" w:firstLineChars="200"/>
        <w:rPr>
          <w:sz w:val="24"/>
        </w:rPr>
      </w:pPr>
      <w:r>
        <w:rPr>
          <w:rFonts w:hint="eastAsia"/>
          <w:sz w:val="24"/>
        </w:rPr>
        <w:t>第十一条 公司正常的水电费、租赁、管理费、通信等费用，由公司办公室办理报销手续，按规定的审批程序批准后，交财务部复核办理；</w:t>
      </w:r>
    </w:p>
    <w:p>
      <w:pPr>
        <w:spacing w:line="360" w:lineRule="auto"/>
        <w:ind w:firstLine="480" w:firstLineChars="200"/>
        <w:rPr>
          <w:sz w:val="24"/>
        </w:rPr>
      </w:pPr>
      <w:r>
        <w:rPr>
          <w:rFonts w:hint="eastAsia"/>
          <w:sz w:val="24"/>
        </w:rPr>
        <w:t>第十二条 公司车辆的费用支付由公司办公室管理，按审批程序办理。</w:t>
      </w:r>
    </w:p>
    <w:p>
      <w:pPr>
        <w:numPr>
          <w:ilvl w:val="0"/>
          <w:numId w:val="2"/>
        </w:numPr>
        <w:spacing w:line="360" w:lineRule="auto"/>
        <w:ind w:firstLine="482" w:firstLineChars="200"/>
        <w:jc w:val="center"/>
        <w:rPr>
          <w:rFonts w:asciiTheme="minorEastAsia" w:hAnsiTheme="minorEastAsia" w:cstheme="minorEastAsia"/>
          <w:b/>
          <w:bCs/>
          <w:sz w:val="24"/>
        </w:rPr>
      </w:pPr>
      <w:r>
        <w:rPr>
          <w:rFonts w:hint="eastAsia" w:asciiTheme="minorEastAsia" w:hAnsiTheme="minorEastAsia" w:cstheme="minorEastAsia"/>
          <w:b/>
          <w:bCs/>
          <w:sz w:val="24"/>
        </w:rPr>
        <w:t>差旅费及交通费支出管理规定</w:t>
      </w:r>
    </w:p>
    <w:p>
      <w:pPr>
        <w:spacing w:line="360" w:lineRule="auto"/>
        <w:ind w:left="420" w:leftChars="200"/>
        <w:rPr>
          <w:rFonts w:asciiTheme="minorEastAsia" w:hAnsiTheme="minorEastAsia" w:cstheme="minorEastAsia"/>
          <w:sz w:val="24"/>
        </w:rPr>
      </w:pPr>
      <w:r>
        <w:rPr>
          <w:rFonts w:hint="eastAsia" w:asciiTheme="minorEastAsia" w:hAnsiTheme="minorEastAsia" w:cstheme="minorEastAsia"/>
          <w:sz w:val="24"/>
        </w:rPr>
        <w:t xml:space="preserve"> 第一条 </w:t>
      </w:r>
      <w:r>
        <w:rPr>
          <w:rFonts w:asciiTheme="minorEastAsia" w:hAnsiTheme="minorEastAsia" w:cstheme="minorEastAsia"/>
          <w:sz w:val="24"/>
        </w:rPr>
        <w:t xml:space="preserve"> </w:t>
      </w:r>
      <w:r>
        <w:rPr>
          <w:rFonts w:hint="eastAsia" w:asciiTheme="minorEastAsia" w:hAnsiTheme="minorEastAsia" w:cstheme="minorEastAsia"/>
          <w:sz w:val="24"/>
        </w:rPr>
        <w:t>出差交通工具和住宿费标准</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第二条   出差人员需制定差旅费预算，对因工作需要所发生的应酬费也要在预算中予以考虑，并严格按照公司的相关制度进行审批； </w:t>
      </w:r>
    </w:p>
    <w:tbl>
      <w:tblPr>
        <w:tblStyle w:val="5"/>
        <w:tblpPr w:leftFromText="180" w:rightFromText="180" w:vertAnchor="text" w:horzAnchor="page" w:tblpX="1077" w:tblpY="1794"/>
        <w:tblOverlap w:val="never"/>
        <w:tblW w:w="986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6"/>
        <w:gridCol w:w="1076"/>
        <w:gridCol w:w="1069"/>
        <w:gridCol w:w="1446"/>
        <w:gridCol w:w="1939"/>
        <w:gridCol w:w="19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40" w:hRule="atLeast"/>
        </w:trPr>
        <w:tc>
          <w:tcPr>
            <w:tcW w:w="2416" w:type="dxa"/>
            <w:vMerge w:val="restart"/>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18"/>
                <w:szCs w:val="18"/>
              </w:rPr>
            </w:pPr>
            <w:r>
              <w:rPr>
                <w:rFonts w:hint="eastAsia" w:asciiTheme="minorEastAsia" w:hAnsiTheme="minorEastAsia" w:cstheme="minorEastAsia"/>
                <w:sz w:val="18"/>
                <w:szCs w:val="18"/>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-6350</wp:posOffset>
                      </wp:positionV>
                      <wp:extent cx="949325" cy="1307465"/>
                      <wp:effectExtent l="3810" t="2540" r="18415" b="4445"/>
                      <wp:wrapNone/>
                      <wp:docPr id="2" name="直接连接符 2"/>
                      <wp:cNvGraphicFramePr/>
                      <a:graphic xmlns:a="http://schemas.openxmlformats.org/drawingml/2006/main">
                        <a:graphicData uri="http://schemas.microsoft.com/office/word/2010/wordprocessingShape">
                          <wps:wsp>
                            <wps:cNvCnPr/>
                            <wps:spPr>
                              <a:xfrm>
                                <a:off x="571500" y="914400"/>
                                <a:ext cx="949325" cy="13074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pt;margin-top:-0.5pt;height:102.95pt;width:74.75pt;z-index:251664384;mso-width-relative:page;mso-height-relative:page;" filled="f" stroked="t" coordsize="21600,21600" o:gfxdata="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jqOCI2AAAAAoBAAAPAAAAAAAAAAEA&#10;IAAAACIAAABkcnMvZG93bnJldi54bWxQSwECFAAUAAAACACHTuJAGxBgG9YBAAByAwAADgAAAAAA&#10;AAABACAAAAAnAQAAZHJzL2Uyb0RvYy54bWxQSwUGAAAAAAYABgBZAQAAbwUAAAAA&#10;">
                      <v:fill on="f" focussize="0,0"/>
                      <v:stroke weight="0.5pt" color="#000000 [3213]" miterlimit="8" joinstyle="miter"/>
                      <v:imagedata o:title=""/>
                      <o:lock v:ext="edit" aspectratio="f"/>
                    </v:line>
                  </w:pict>
                </mc:Fallback>
              </mc:AlternateContent>
            </w:r>
            <w:r>
              <w:rPr>
                <w:rFonts w:hint="eastAsia" w:asciiTheme="minorEastAsia" w:hAnsiTheme="minorEastAsia" w:cstheme="minorEastAsia"/>
                <w:sz w:val="18"/>
                <w:szCs w:val="18"/>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-6350</wp:posOffset>
                      </wp:positionV>
                      <wp:extent cx="1601470" cy="891540"/>
                      <wp:effectExtent l="2540" t="4445" r="15240" b="18415"/>
                      <wp:wrapNone/>
                      <wp:docPr id="3" name="直线 12"/>
                      <wp:cNvGraphicFramePr/>
                      <a:graphic xmlns:a="http://schemas.openxmlformats.org/drawingml/2006/main">
                        <a:graphicData uri="http://schemas.microsoft.com/office/word/2010/wordprocessingShape">
                          <wps:wsp>
                            <wps:cNvCnPr/>
                            <wps:spPr>
                              <a:xfrm>
                                <a:off x="0" y="0"/>
                                <a:ext cx="1601470" cy="8915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2" o:spid="_x0000_s1026" o:spt="20" style="position:absolute;left:0pt;margin-left:-9pt;margin-top:-0.5pt;height:70.2pt;width:126.1pt;z-index:251667456;mso-width-relative:page;mso-height-relative:page;" filled="f" stroked="t" coordsize="21600,21600" o:gfxdata="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WUChjYAAAACgEAAA8AAAAAAAAAAQAgAAAAIgAAAGRy&#10;cy9kb3ducmV2LnhtbFBLAQIUABQAAAAIAIdO4kC6aQeIzAEAAIcDAAAOAAAAAAAAAAEAIAAAACcB&#10;AABkcnMvZTJvRG9jLnhtbFBLBQYAAAAABgAGAFkBAABlBQAAAAA=&#10;">
                      <v:fill on="f" focussize="0,0"/>
                      <v:stroke color="#000000" joinstyle="round"/>
                      <v:imagedata o:title=""/>
                      <o:lock v:ext="edit" aspectratio="f"/>
                    </v:line>
                  </w:pict>
                </mc:Fallback>
              </mc:AlternateContent>
            </w:r>
            <w:r>
              <w:rPr>
                <w:rFonts w:hint="eastAsia" w:asciiTheme="minorEastAsia" w:hAnsiTheme="minorEastAsia" w:cstheme="minorEastAsia"/>
                <w:sz w:val="18"/>
                <w:szCs w:val="18"/>
              </w:rPr>
              <w:t>项目</w:t>
            </w:r>
          </w:p>
          <w:p>
            <w:pPr>
              <w:tabs>
                <w:tab w:val="left" w:pos="-105"/>
              </w:tabs>
              <w:spacing w:line="600" w:lineRule="exact"/>
              <w:ind w:firstLine="480" w:firstLineChars="200"/>
              <w:jc w:val="center"/>
              <w:rPr>
                <w:rFonts w:asciiTheme="minorEastAsia" w:hAnsiTheme="minorEastAsia" w:cstheme="minorEastAsia"/>
                <w:sz w:val="18"/>
                <w:szCs w:val="18"/>
              </w:rPr>
            </w:pPr>
            <w:r>
              <w:rPr>
                <w:rFonts w:hint="eastAsia" w:asciiTheme="minorEastAsia" w:hAnsiTheme="minorEastAsia" w:cstheme="minorEastAsia"/>
                <w:sz w:val="18"/>
                <w:szCs w:val="18"/>
              </w:rPr>
              <mc:AlternateContent>
                <mc:Choice Requires="wps">
                  <w:drawing>
                    <wp:anchor distT="0" distB="0" distL="114300" distR="114300" simplePos="0" relativeHeight="251665408" behindDoc="0" locked="0" layoutInCell="1" allowOverlap="1">
                      <wp:simplePos x="0" y="0"/>
                      <wp:positionH relativeFrom="column">
                        <wp:posOffset>-230505</wp:posOffset>
                      </wp:positionH>
                      <wp:positionV relativeFrom="paragraph">
                        <wp:posOffset>451485</wp:posOffset>
                      </wp:positionV>
                      <wp:extent cx="1027430" cy="419100"/>
                      <wp:effectExtent l="0" t="0" r="0" b="0"/>
                      <wp:wrapNone/>
                      <wp:docPr id="6" name="矩形 13"/>
                      <wp:cNvGraphicFramePr/>
                      <a:graphic xmlns:a="http://schemas.openxmlformats.org/drawingml/2006/main">
                        <a:graphicData uri="http://schemas.microsoft.com/office/word/2010/wordprocessingShape">
                          <wps:wsp>
                            <wps:cNvSpPr/>
                            <wps:spPr>
                              <a:xfrm>
                                <a:off x="0" y="0"/>
                                <a:ext cx="1027430" cy="419100"/>
                              </a:xfrm>
                              <a:prstGeom prst="rect">
                                <a:avLst/>
                              </a:prstGeom>
                              <a:noFill/>
                              <a:ln w="9525">
                                <a:noFill/>
                              </a:ln>
                            </wps:spPr>
                            <wps:txbx>
                              <w:txbxContent>
                                <w:p>
                                  <w:pPr>
                                    <w:ind w:firstLine="420" w:firstLineChars="150"/>
                                    <w:rPr>
                                      <w:rFonts w:ascii="仿宋_GB2312" w:eastAsia="仿宋_GB2312"/>
                                      <w:sz w:val="28"/>
                                      <w:szCs w:val="28"/>
                                    </w:rPr>
                                  </w:pPr>
                                  <w:r>
                                    <w:rPr>
                                      <w:rFonts w:hint="eastAsia" w:ascii="仿宋_GB2312" w:eastAsia="仿宋_GB2312"/>
                                      <w:sz w:val="28"/>
                                      <w:szCs w:val="28"/>
                                    </w:rPr>
                                    <w:t>职务</w:t>
                                  </w:r>
                                </w:p>
                              </w:txbxContent>
                            </wps:txbx>
                            <wps:bodyPr upright="1"/>
                          </wps:wsp>
                        </a:graphicData>
                      </a:graphic>
                    </wp:anchor>
                  </w:drawing>
                </mc:Choice>
                <mc:Fallback>
                  <w:pict>
                    <v:rect id="矩形 13" o:spid="_x0000_s1026" o:spt="1" style="position:absolute;left:0pt;margin-left:-18.15pt;margin-top:35.55pt;height:33pt;width:80.9pt;z-index:251665408;mso-width-relative:page;mso-height-relative:page;" filled="f" stroked="f" coordsize="21600,21600" o:gfxdata="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GzElmNsAAAAKAQAADwAAAAAAAAABACAAAAAiAAAAZHJzL2Rv&#10;d25yZXYueG1sUEsBAhQAFAAAAAgAh07iQBStbEOMAQAA/QIAAA4AAAAAAAAAAQAgAAAAKgEAAGRy&#10;cy9lMm9Eb2MueG1sUEsFBgAAAAAGAAYAWQEAACgFAAAAAA==&#10;">
                      <v:fill on="f" focussize="0,0"/>
                      <v:stroke on="f"/>
                      <v:imagedata o:title=""/>
                      <o:lock v:ext="edit" aspectratio="f"/>
                      <v:textbox>
                        <w:txbxContent>
                          <w:p>
                            <w:pPr>
                              <w:ind w:firstLine="420" w:firstLineChars="150"/>
                              <w:rPr>
                                <w:rFonts w:ascii="仿宋_GB2312" w:eastAsia="仿宋_GB2312"/>
                                <w:sz w:val="28"/>
                                <w:szCs w:val="28"/>
                              </w:rPr>
                            </w:pPr>
                            <w:r>
                              <w:rPr>
                                <w:rFonts w:hint="eastAsia" w:ascii="仿宋_GB2312" w:eastAsia="仿宋_GB2312"/>
                                <w:sz w:val="28"/>
                                <w:szCs w:val="28"/>
                              </w:rPr>
                              <w:t>职务</w:t>
                            </w:r>
                          </w:p>
                        </w:txbxContent>
                      </v:textbox>
                    </v:rect>
                  </w:pict>
                </mc:Fallback>
              </mc:AlternateContent>
            </w:r>
            <w:r>
              <w:rPr>
                <w:rFonts w:hint="eastAsia" w:asciiTheme="minorEastAsia" w:hAnsiTheme="minorEastAsia" w:cstheme="minorEastAsia"/>
                <w:sz w:val="18"/>
                <w:szCs w:val="18"/>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389890</wp:posOffset>
                      </wp:positionV>
                      <wp:extent cx="1027430" cy="419100"/>
                      <wp:effectExtent l="0" t="0" r="0" b="0"/>
                      <wp:wrapNone/>
                      <wp:docPr id="7" name="矩形 14"/>
                      <wp:cNvGraphicFramePr/>
                      <a:graphic xmlns:a="http://schemas.openxmlformats.org/drawingml/2006/main">
                        <a:graphicData uri="http://schemas.microsoft.com/office/word/2010/wordprocessingShape">
                          <wps:wsp>
                            <wps:cNvSpPr/>
                            <wps:spPr>
                              <a:xfrm>
                                <a:off x="0" y="0"/>
                                <a:ext cx="1027430" cy="419100"/>
                              </a:xfrm>
                              <a:prstGeom prst="rect">
                                <a:avLst/>
                              </a:prstGeom>
                              <a:noFill/>
                              <a:ln w="9525">
                                <a:noFill/>
                              </a:ln>
                            </wps:spPr>
                            <wps:txbx>
                              <w:txbxContent>
                                <w:p>
                                  <w:pPr>
                                    <w:ind w:firstLine="140" w:firstLineChars="50"/>
                                    <w:rPr>
                                      <w:rFonts w:ascii="仿宋_GB2312" w:eastAsia="仿宋_GB2312"/>
                                      <w:sz w:val="28"/>
                                      <w:szCs w:val="28"/>
                                    </w:rPr>
                                  </w:pPr>
                                  <w:r>
                                    <w:rPr>
                                      <w:rFonts w:hint="eastAsia" w:ascii="仿宋_GB2312" w:eastAsia="仿宋_GB2312"/>
                                      <w:sz w:val="28"/>
                                      <w:szCs w:val="28"/>
                                    </w:rPr>
                                    <w:t>等级标准</w:t>
                                  </w:r>
                                </w:p>
                              </w:txbxContent>
                            </wps:txbx>
                            <wps:bodyPr upright="1"/>
                          </wps:wsp>
                        </a:graphicData>
                      </a:graphic>
                    </wp:anchor>
                  </w:drawing>
                </mc:Choice>
                <mc:Fallback>
                  <w:pict>
                    <v:rect id="矩形 14" o:spid="_x0000_s1026" o:spt="1" style="position:absolute;left:0pt;margin-left:45pt;margin-top:30.7pt;height:33pt;width:80.9pt;z-index:251666432;mso-width-relative:page;mso-height-relative:page;" filled="f" stroked="f" coordsize="21600,21600" o:gfxdata="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2eSai2QAAAAkBAAAPAAAAAAAAAAEAIAAAACIAAABkcnMvZG93&#10;bnJldi54bWxQSwECFAAUAAAACACHTuJANsI/v40BAAD9AgAADgAAAAAAAAABACAAAAAoAQAAZHJz&#10;L2Uyb0RvYy54bWxQSwUGAAAAAAYABgBZAQAAJwUAAAAA&#10;">
                      <v:fill on="f" focussize="0,0"/>
                      <v:stroke on="f"/>
                      <v:imagedata o:title=""/>
                      <o:lock v:ext="edit" aspectratio="f"/>
                      <v:textbox>
                        <w:txbxContent>
                          <w:p>
                            <w:pPr>
                              <w:ind w:firstLine="140" w:firstLineChars="50"/>
                              <w:rPr>
                                <w:rFonts w:ascii="仿宋_GB2312" w:eastAsia="仿宋_GB2312"/>
                                <w:sz w:val="28"/>
                                <w:szCs w:val="28"/>
                              </w:rPr>
                            </w:pPr>
                            <w:r>
                              <w:rPr>
                                <w:rFonts w:hint="eastAsia" w:ascii="仿宋_GB2312" w:eastAsia="仿宋_GB2312"/>
                                <w:sz w:val="28"/>
                                <w:szCs w:val="28"/>
                              </w:rPr>
                              <w:t>等级标准</w:t>
                            </w:r>
                          </w:p>
                        </w:txbxContent>
                      </v:textbox>
                    </v:rect>
                  </w:pict>
                </mc:Fallback>
              </mc:AlternateContent>
            </w:r>
            <w:r>
              <w:rPr>
                <w:rFonts w:hint="eastAsia" w:asciiTheme="minorEastAsia" w:hAnsiTheme="minorEastAsia" w:cstheme="minorEastAsia"/>
                <w:sz w:val="18"/>
                <w:szCs w:val="18"/>
              </w:rPr>
              <mc:AlternateContent>
                <mc:Choice Requires="wpc">
                  <w:drawing>
                    <wp:inline distT="0" distB="0" distL="114300" distR="114300">
                      <wp:extent cx="1371600" cy="792480"/>
                      <wp:effectExtent l="0" t="0" r="0" b="0"/>
                      <wp:docPr id="8"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c:wpc>
                        </a:graphicData>
                      </a:graphic>
                    </wp:inline>
                  </w:drawing>
                </mc:Choice>
                <mc:Fallback>
                  <w:pict>
                    <v:group id="画布 15" o:spid="_x0000_s1026" o:spt="203" style="height:62.4pt;width:108pt;" coordsize="1371600,792480" editas="canvas" o:gfxdata="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">
                      <o:lock v:ext="edit" aspectratio="f"/>
                      <v:shape id="画布 15" o:spid="_x0000_s1026" style="position:absolute;left:0;top:0;height:792480;width:1371600;" filled="f" stroked="f" coordsize="21600,21600" o:gfxdata="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">
                        <v:fill on="f" focussize="0,0"/>
                        <v:stroke on="f"/>
                        <v:imagedata o:title=""/>
                        <o:lock v:ext="edit" aspectratio="t"/>
                      </v:shape>
                      <w10:wrap type="none"/>
                      <w10:anchorlock/>
                    </v:group>
                  </w:pict>
                </mc:Fallback>
              </mc:AlternateContent>
            </w:r>
          </w:p>
        </w:tc>
        <w:tc>
          <w:tcPr>
            <w:tcW w:w="1076" w:type="dxa"/>
            <w:vMerge w:val="restart"/>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jc w:val="center"/>
              <w:rPr>
                <w:rFonts w:asciiTheme="minorEastAsia" w:hAnsiTheme="minorEastAsia" w:cstheme="minorEastAsia"/>
                <w:sz w:val="18"/>
                <w:szCs w:val="18"/>
                <w:highlight w:val="yellow"/>
              </w:rPr>
            </w:pPr>
            <w:r>
              <w:rPr>
                <w:rFonts w:hint="eastAsia" w:asciiTheme="minorEastAsia" w:hAnsiTheme="minorEastAsia" w:cstheme="minorEastAsia"/>
                <w:sz w:val="18"/>
                <w:szCs w:val="18"/>
                <w:highlight w:val="yellow"/>
                <w:lang w:eastAsia="zh-CN"/>
              </w:rPr>
              <w:t>动</w:t>
            </w:r>
            <w:r>
              <w:rPr>
                <w:rFonts w:hint="eastAsia" w:asciiTheme="minorEastAsia" w:hAnsiTheme="minorEastAsia" w:cstheme="minorEastAsia"/>
                <w:sz w:val="18"/>
                <w:szCs w:val="18"/>
                <w:highlight w:val="yellow"/>
              </w:rPr>
              <w:t>车</w:t>
            </w:r>
            <w:r>
              <w:rPr>
                <w:rFonts w:hint="eastAsia" w:asciiTheme="minorEastAsia" w:hAnsiTheme="minorEastAsia" w:cstheme="minorEastAsia"/>
                <w:sz w:val="18"/>
                <w:szCs w:val="18"/>
                <w:highlight w:val="yellow"/>
                <w:lang w:eastAsia="zh-CN"/>
              </w:rPr>
              <w:t>（优选）</w:t>
            </w: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飞机</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其他交通工具</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18"/>
                <w:szCs w:val="18"/>
              </w:rPr>
            </w:pPr>
            <w:r>
              <w:rPr>
                <w:rFonts w:hint="eastAsia" w:asciiTheme="minorEastAsia" w:hAnsiTheme="minorEastAsia" w:cstheme="minorEastAsia"/>
                <w:sz w:val="18"/>
                <w:szCs w:val="18"/>
              </w:rPr>
              <w:t>住宿费元/晚</w:t>
            </w:r>
          </w:p>
        </w:tc>
        <w:tc>
          <w:tcPr>
            <w:tcW w:w="1920"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eastAsia="zh-CN"/>
              </w:rPr>
              <w:t>餐标</w:t>
            </w:r>
            <w:r>
              <w:rPr>
                <w:rFonts w:hint="eastAsia" w:asciiTheme="minorEastAsia" w:hAnsiTheme="minorEastAsia" w:cstheme="minorEastAsia"/>
                <w:sz w:val="18"/>
                <w:szCs w:val="18"/>
                <w:lang w:val="en-US" w:eastAsia="zh-CN"/>
              </w:rPr>
              <w:t>+交通补助元/天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16" w:hRule="atLeast"/>
        </w:trPr>
        <w:tc>
          <w:tcPr>
            <w:tcW w:w="2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ind w:firstLine="480" w:firstLineChars="200"/>
              <w:jc w:val="center"/>
              <w:rPr>
                <w:rFonts w:asciiTheme="minorEastAsia" w:hAnsiTheme="minorEastAsia" w:cstheme="minorEastAsia"/>
                <w:sz w:val="18"/>
                <w:szCs w:val="18"/>
              </w:rPr>
            </w:pPr>
          </w:p>
        </w:tc>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ind w:firstLine="480" w:firstLineChars="200"/>
              <w:jc w:val="center"/>
              <w:rPr>
                <w:rFonts w:asciiTheme="minorEastAsia" w:hAnsiTheme="minorEastAsia" w:cstheme="minorEastAsia"/>
                <w:sz w:val="18"/>
                <w:szCs w:val="18"/>
                <w:highlight w:val="yellow"/>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ind w:firstLine="480" w:firstLineChars="200"/>
              <w:jc w:val="center"/>
              <w:rPr>
                <w:rFonts w:asciiTheme="minorEastAsia" w:hAnsiTheme="minorEastAsia" w:cstheme="minorEastAsia"/>
                <w:sz w:val="18"/>
                <w:szCs w:val="18"/>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ind w:firstLine="480" w:firstLineChars="200"/>
              <w:jc w:val="center"/>
              <w:rPr>
                <w:rFonts w:asciiTheme="minorEastAsia" w:hAnsiTheme="minorEastAsia" w:cstheme="minorEastAsia"/>
                <w:sz w:val="18"/>
                <w:szCs w:val="18"/>
              </w:rPr>
            </w:pP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18"/>
                <w:szCs w:val="18"/>
              </w:rPr>
            </w:pPr>
            <w:r>
              <w:rPr>
                <w:rFonts w:hint="eastAsia" w:asciiTheme="minorEastAsia" w:hAnsiTheme="minorEastAsia" w:cstheme="minorEastAsia"/>
                <w:sz w:val="18"/>
                <w:szCs w:val="18"/>
              </w:rPr>
              <w:t>国内</w:t>
            </w:r>
          </w:p>
        </w:tc>
        <w:tc>
          <w:tcPr>
            <w:tcW w:w="1920"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eastAsia="zh-CN"/>
              </w:rPr>
              <w:t>国内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55" w:hRule="atLeast"/>
        </w:trPr>
        <w:tc>
          <w:tcPr>
            <w:tcW w:w="241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总经理</w:t>
            </w:r>
          </w:p>
          <w:p>
            <w:pPr>
              <w:tabs>
                <w:tab w:val="left" w:pos="-105"/>
              </w:tabs>
              <w:spacing w:line="24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副总经理</w:t>
            </w:r>
          </w:p>
        </w:tc>
        <w:tc>
          <w:tcPr>
            <w:tcW w:w="107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center"/>
              <w:rPr>
                <w:rFonts w:asciiTheme="minorEastAsia" w:hAnsiTheme="minorEastAsia" w:cstheme="minorEastAsia"/>
                <w:sz w:val="18"/>
                <w:szCs w:val="18"/>
                <w:highlight w:val="yellow"/>
              </w:rPr>
            </w:pPr>
            <w:r>
              <w:rPr>
                <w:rFonts w:hint="eastAsia" w:asciiTheme="minorEastAsia" w:hAnsiTheme="minorEastAsia" w:cstheme="minorEastAsia"/>
                <w:sz w:val="18"/>
                <w:szCs w:val="18"/>
                <w:highlight w:val="yellow"/>
              </w:rPr>
              <w:t>按实</w:t>
            </w:r>
          </w:p>
          <w:p>
            <w:pPr>
              <w:tabs>
                <w:tab w:val="left" w:pos="-105"/>
              </w:tabs>
              <w:spacing w:line="240" w:lineRule="auto"/>
              <w:jc w:val="center"/>
              <w:rPr>
                <w:rFonts w:hint="eastAsia" w:asciiTheme="minorEastAsia" w:hAnsiTheme="minorEastAsia" w:eastAsiaTheme="minorEastAsia" w:cstheme="minorEastAsia"/>
                <w:sz w:val="18"/>
                <w:szCs w:val="18"/>
                <w:highlight w:val="yellow"/>
                <w:lang w:eastAsia="zh-CN"/>
              </w:rPr>
            </w:pPr>
            <w:r>
              <w:rPr>
                <w:rFonts w:hint="eastAsia" w:asciiTheme="minorEastAsia" w:hAnsiTheme="minorEastAsia" w:cstheme="minorEastAsia"/>
                <w:sz w:val="18"/>
                <w:szCs w:val="18"/>
                <w:highlight w:val="yellow"/>
                <w:lang w:eastAsia="zh-CN"/>
              </w:rPr>
              <w:t>一等座</w:t>
            </w:r>
          </w:p>
        </w:tc>
        <w:tc>
          <w:tcPr>
            <w:tcW w:w="106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center"/>
              <w:rPr>
                <w:rFonts w:asciiTheme="minorEastAsia" w:hAnsiTheme="minorEastAsia" w:cstheme="minorEastAsia"/>
                <w:sz w:val="18"/>
                <w:szCs w:val="18"/>
                <w:highlight w:val="yellow"/>
              </w:rPr>
            </w:pPr>
            <w:r>
              <w:rPr>
                <w:rFonts w:hint="eastAsia" w:asciiTheme="minorEastAsia" w:hAnsiTheme="minorEastAsia" w:cstheme="minorEastAsia"/>
                <w:sz w:val="18"/>
                <w:szCs w:val="18"/>
                <w:highlight w:val="yellow"/>
              </w:rPr>
              <w:t>按实</w:t>
            </w:r>
          </w:p>
          <w:p>
            <w:pPr>
              <w:tabs>
                <w:tab w:val="left" w:pos="-105"/>
              </w:tabs>
              <w:spacing w:line="240" w:lineRule="auto"/>
              <w:jc w:val="center"/>
              <w:rPr>
                <w:rFonts w:hint="eastAsia" w:asciiTheme="minorEastAsia" w:hAnsiTheme="minorEastAsia" w:eastAsiaTheme="minorEastAsia" w:cstheme="minorEastAsia"/>
                <w:sz w:val="18"/>
                <w:szCs w:val="18"/>
                <w:highlight w:val="yellow"/>
                <w:lang w:eastAsia="zh-CN"/>
              </w:rPr>
            </w:pPr>
            <w:r>
              <w:rPr>
                <w:rFonts w:hint="eastAsia" w:asciiTheme="minorEastAsia" w:hAnsiTheme="minorEastAsia" w:cstheme="minorEastAsia"/>
                <w:sz w:val="18"/>
                <w:szCs w:val="18"/>
                <w:highlight w:val="yellow"/>
                <w:lang w:eastAsia="zh-CN"/>
              </w:rPr>
              <w:t>经济舱</w:t>
            </w:r>
          </w:p>
        </w:tc>
        <w:tc>
          <w:tcPr>
            <w:tcW w:w="144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按实</w:t>
            </w:r>
          </w:p>
          <w:p>
            <w:pPr>
              <w:tabs>
                <w:tab w:val="left" w:pos="-105"/>
              </w:tabs>
              <w:spacing w:line="24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按实报销</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left"/>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eastAsia="zh-CN"/>
              </w:rPr>
              <w:t>一线城市：</w:t>
            </w:r>
            <w:r>
              <w:rPr>
                <w:rFonts w:hint="eastAsia" w:asciiTheme="minorEastAsia" w:hAnsiTheme="minorEastAsia" w:cstheme="minorEastAsia"/>
                <w:sz w:val="18"/>
                <w:szCs w:val="18"/>
                <w:lang w:val="en-US" w:eastAsia="zh-CN"/>
              </w:rPr>
              <w:t xml:space="preserve"> 700 </w:t>
            </w:r>
          </w:p>
          <w:p>
            <w:pPr>
              <w:tabs>
                <w:tab w:val="left" w:pos="-105"/>
              </w:tabs>
              <w:spacing w:line="240" w:lineRule="auto"/>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eastAsia="zh-CN"/>
              </w:rPr>
              <w:t>二线城市、重庆：</w:t>
            </w:r>
            <w:r>
              <w:rPr>
                <w:rFonts w:hint="eastAsia" w:asciiTheme="minorEastAsia" w:hAnsiTheme="minorEastAsia" w:cstheme="minorEastAsia"/>
                <w:sz w:val="18"/>
                <w:szCs w:val="18"/>
                <w:lang w:val="en-US" w:eastAsia="zh-CN"/>
              </w:rPr>
              <w:t xml:space="preserve"> 500</w:t>
            </w:r>
          </w:p>
          <w:p>
            <w:pPr>
              <w:tabs>
                <w:tab w:val="left" w:pos="-105"/>
              </w:tabs>
              <w:spacing w:line="240" w:lineRule="auto"/>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三线城市： 300</w:t>
            </w:r>
          </w:p>
        </w:tc>
        <w:tc>
          <w:tcPr>
            <w:tcW w:w="1920"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一线城市：150</w:t>
            </w:r>
          </w:p>
          <w:p>
            <w:pPr>
              <w:tabs>
                <w:tab w:val="left" w:pos="-105"/>
              </w:tabs>
              <w:spacing w:line="240" w:lineRule="auto"/>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二线城市：120</w:t>
            </w:r>
          </w:p>
          <w:p>
            <w:pPr>
              <w:tabs>
                <w:tab w:val="left" w:pos="-105"/>
              </w:tabs>
              <w:spacing w:line="240" w:lineRule="auto"/>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三线城市：120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1" w:hRule="atLeast"/>
        </w:trPr>
        <w:tc>
          <w:tcPr>
            <w:tcW w:w="241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center"/>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eastAsia="zh-CN"/>
              </w:rPr>
              <w:t>其他员工</w:t>
            </w:r>
          </w:p>
        </w:tc>
        <w:tc>
          <w:tcPr>
            <w:tcW w:w="107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center"/>
              <w:rPr>
                <w:rFonts w:hint="eastAsia" w:asciiTheme="minorEastAsia" w:hAnsiTheme="minorEastAsia" w:eastAsiaTheme="minorEastAsia" w:cstheme="minorEastAsia"/>
                <w:sz w:val="18"/>
                <w:szCs w:val="18"/>
                <w:highlight w:val="yellow"/>
                <w:lang w:eastAsia="zh-CN"/>
              </w:rPr>
            </w:pPr>
            <w:r>
              <w:rPr>
                <w:rFonts w:hint="eastAsia" w:asciiTheme="minorEastAsia" w:hAnsiTheme="minorEastAsia" w:cstheme="minorEastAsia"/>
                <w:sz w:val="18"/>
                <w:szCs w:val="18"/>
                <w:highlight w:val="yellow"/>
                <w:lang w:eastAsia="zh-CN"/>
              </w:rPr>
              <w:t>二等座</w:t>
            </w:r>
          </w:p>
        </w:tc>
        <w:tc>
          <w:tcPr>
            <w:tcW w:w="106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center"/>
              <w:rPr>
                <w:rFonts w:hint="eastAsia" w:asciiTheme="minorEastAsia" w:hAnsiTheme="minorEastAsia" w:eastAsiaTheme="minorEastAsia" w:cstheme="minorEastAsia"/>
                <w:sz w:val="18"/>
                <w:szCs w:val="18"/>
                <w:highlight w:val="yellow"/>
                <w:lang w:eastAsia="zh-CN"/>
              </w:rPr>
            </w:pPr>
            <w:r>
              <w:rPr>
                <w:rFonts w:hint="eastAsia" w:asciiTheme="minorEastAsia" w:hAnsiTheme="minorEastAsia" w:cstheme="minorEastAsia"/>
                <w:sz w:val="18"/>
                <w:szCs w:val="18"/>
                <w:highlight w:val="yellow"/>
                <w:lang w:eastAsia="zh-CN"/>
              </w:rPr>
              <w:t>经济舱</w:t>
            </w:r>
          </w:p>
        </w:tc>
        <w:tc>
          <w:tcPr>
            <w:tcW w:w="144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按实</w:t>
            </w:r>
          </w:p>
          <w:p>
            <w:pPr>
              <w:tabs>
                <w:tab w:val="left" w:pos="-105"/>
              </w:tabs>
              <w:spacing w:line="24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报销</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left"/>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eastAsia="zh-CN"/>
              </w:rPr>
              <w:t>一线城市：</w:t>
            </w:r>
            <w:r>
              <w:rPr>
                <w:rFonts w:hint="eastAsia" w:asciiTheme="minorEastAsia" w:hAnsiTheme="minorEastAsia" w:cstheme="minorEastAsia"/>
                <w:sz w:val="18"/>
                <w:szCs w:val="18"/>
                <w:lang w:val="en-US" w:eastAsia="zh-CN"/>
              </w:rPr>
              <w:t xml:space="preserve">500 </w:t>
            </w:r>
          </w:p>
          <w:p>
            <w:pPr>
              <w:tabs>
                <w:tab w:val="left" w:pos="-105"/>
              </w:tabs>
              <w:spacing w:line="240" w:lineRule="auto"/>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eastAsia="zh-CN"/>
              </w:rPr>
              <w:t>二线城市、重庆：</w:t>
            </w:r>
            <w:r>
              <w:rPr>
                <w:rFonts w:hint="eastAsia" w:asciiTheme="minorEastAsia" w:hAnsiTheme="minorEastAsia" w:cstheme="minorEastAsia"/>
                <w:sz w:val="18"/>
                <w:szCs w:val="18"/>
                <w:lang w:val="en-US" w:eastAsia="zh-CN"/>
              </w:rPr>
              <w:t xml:space="preserve"> 300</w:t>
            </w:r>
          </w:p>
          <w:p>
            <w:pPr>
              <w:tabs>
                <w:tab w:val="left" w:pos="-105"/>
              </w:tabs>
              <w:spacing w:line="240" w:lineRule="auto"/>
              <w:jc w:val="left"/>
              <w:rPr>
                <w:rFonts w:asciiTheme="minorEastAsia" w:hAnsiTheme="minorEastAsia" w:cstheme="minorEastAsia"/>
                <w:sz w:val="18"/>
                <w:szCs w:val="18"/>
              </w:rPr>
            </w:pPr>
            <w:r>
              <w:rPr>
                <w:rFonts w:hint="eastAsia" w:asciiTheme="minorEastAsia" w:hAnsiTheme="minorEastAsia" w:cstheme="minorEastAsia"/>
                <w:sz w:val="18"/>
                <w:szCs w:val="18"/>
                <w:lang w:val="en-US" w:eastAsia="zh-CN"/>
              </w:rPr>
              <w:t>三线城市： 150</w:t>
            </w:r>
          </w:p>
        </w:tc>
        <w:tc>
          <w:tcPr>
            <w:tcW w:w="1920"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一线城市：120</w:t>
            </w:r>
          </w:p>
          <w:p>
            <w:pPr>
              <w:tabs>
                <w:tab w:val="left" w:pos="-105"/>
              </w:tabs>
              <w:spacing w:line="240" w:lineRule="auto"/>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二线城市：100</w:t>
            </w:r>
          </w:p>
          <w:p>
            <w:pPr>
              <w:tabs>
                <w:tab w:val="left" w:pos="-105"/>
              </w:tabs>
              <w:spacing w:line="240" w:lineRule="auto"/>
              <w:jc w:val="left"/>
              <w:rPr>
                <w:rFonts w:asciiTheme="minorEastAsia" w:hAnsiTheme="minorEastAsia" w:cstheme="minorEastAsia"/>
                <w:sz w:val="18"/>
                <w:szCs w:val="18"/>
              </w:rPr>
            </w:pPr>
            <w:r>
              <w:rPr>
                <w:rFonts w:hint="eastAsia" w:asciiTheme="minorEastAsia" w:hAnsiTheme="minorEastAsia" w:cstheme="minorEastAsia"/>
                <w:sz w:val="18"/>
                <w:szCs w:val="18"/>
                <w:lang w:val="en-US" w:eastAsia="zh-CN"/>
              </w:rPr>
              <w:t>三线城市：100</w:t>
            </w:r>
          </w:p>
        </w:tc>
      </w:tr>
    </w:tbl>
    <w:p>
      <w:pPr>
        <w:spacing w:line="600" w:lineRule="exact"/>
        <w:ind w:firstLine="720" w:firstLineChars="300"/>
        <w:rPr>
          <w:rFonts w:asciiTheme="minorEastAsia" w:hAnsiTheme="minorEastAsia" w:cstheme="minorEastAsia"/>
          <w:sz w:val="24"/>
        </w:rPr>
      </w:pPr>
      <w:r>
        <w:rPr>
          <w:rFonts w:hint="eastAsia" w:asciiTheme="minorEastAsia" w:hAnsiTheme="minorEastAsia" w:cstheme="minorEastAsia"/>
          <w:sz w:val="24"/>
        </w:rPr>
        <w:t xml:space="preserve">第三条   </w:t>
      </w:r>
      <w:r>
        <w:rPr>
          <w:rFonts w:hint="eastAsia" w:asciiTheme="minorEastAsia" w:hAnsiTheme="minorEastAsia" w:cstheme="minorEastAsia"/>
          <w:bCs/>
          <w:sz w:val="24"/>
        </w:rPr>
        <w:t>凡是参加会议、培训并统一安排食宿的，会议期间的住宿费、伙食补助费由主持召开会议单位按照会议、培训统一收取了会务费、培训费（含住宿、餐饮），公司不再报销会议期间的住宿费和伙食补助费。不统一安排食宿的，住宿费、伙食补助费按标准报销。</w:t>
      </w:r>
    </w:p>
    <w:p>
      <w:pPr>
        <w:tabs>
          <w:tab w:val="left" w:pos="-105"/>
        </w:tabs>
        <w:spacing w:line="600" w:lineRule="exact"/>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 xml:space="preserve">备注：一线城市：北京 杭州 上海 南京 广州 济南 深圳 重庆 天津    </w:t>
      </w:r>
    </w:p>
    <w:p>
      <w:pPr>
        <w:tabs>
          <w:tab w:val="left" w:pos="-105"/>
        </w:tabs>
        <w:spacing w:line="600" w:lineRule="exact"/>
        <w:ind w:firstLine="480" w:firstLineChars="200"/>
        <w:rPr>
          <w:rFonts w:hint="eastAsia" w:asciiTheme="minorEastAsia" w:hAnsiTheme="minorEastAsia" w:cstheme="minorEastAsia"/>
          <w:sz w:val="24"/>
          <w:lang w:eastAsia="zh-CN"/>
        </w:rPr>
      </w:pP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lang w:eastAsia="zh-CN"/>
        </w:rPr>
        <w:t>二线城市： 青岛 大连 宁波 厦门</w:t>
      </w:r>
      <w:r>
        <w:rPr>
          <w:rFonts w:hint="eastAsia" w:asciiTheme="minorEastAsia" w:hAnsiTheme="minorEastAsia" w:cstheme="minorEastAsia"/>
          <w:sz w:val="24"/>
          <w:lang w:val="en-US" w:eastAsia="zh-CN"/>
        </w:rPr>
        <w:t xml:space="preserve"> 桂林 成都</w:t>
      </w:r>
      <w:r>
        <w:rPr>
          <w:rFonts w:hint="eastAsia" w:asciiTheme="minorEastAsia" w:hAnsiTheme="minorEastAsia" w:cstheme="minorEastAsia"/>
          <w:sz w:val="24"/>
          <w:lang w:eastAsia="zh-CN"/>
        </w:rPr>
        <w:t xml:space="preserve"> 武汉 哈尔滨</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lang w:eastAsia="zh-CN"/>
        </w:rPr>
        <w:t>沈阳 西安</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lang w:eastAsia="zh-CN"/>
        </w:rPr>
        <w:t xml:space="preserve">长春 长沙 福州 郑州 石家庄 苏州 佛山东莞 无锡 烟台 太原 合肥 南昌 南宁 昆明 温州 淄博 唐山 </w:t>
      </w:r>
    </w:p>
    <w:p>
      <w:pPr>
        <w:tabs>
          <w:tab w:val="left" w:pos="-105"/>
        </w:tabs>
        <w:spacing w:line="6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lang w:eastAsia="zh-CN"/>
        </w:rPr>
        <w:t>三类城市：除一二类城市以外的国内其他城市</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住宿费</w:t>
      </w:r>
      <w:r>
        <w:rPr>
          <w:rFonts w:hint="eastAsia" w:asciiTheme="minorEastAsia" w:hAnsiTheme="minorEastAsia" w:cstheme="minorEastAsia"/>
          <w:sz w:val="24"/>
          <w:lang w:eastAsia="zh-CN"/>
        </w:rPr>
        <w:t>、交通费、餐标等</w:t>
      </w:r>
      <w:r>
        <w:rPr>
          <w:rFonts w:hint="eastAsia" w:asciiTheme="minorEastAsia" w:hAnsiTheme="minorEastAsia" w:cstheme="minorEastAsia"/>
          <w:sz w:val="24"/>
        </w:rPr>
        <w:t>必须严格控制在标准范围内，一律凭酒店、旅馆、招待所开具增值税发票报销，超过标准部分一般不予报销；</w:t>
      </w:r>
      <w:r>
        <w:rPr>
          <w:rFonts w:hint="eastAsia" w:asciiTheme="minorEastAsia" w:hAnsiTheme="minorEastAsia" w:cstheme="minorEastAsia"/>
          <w:sz w:val="24"/>
          <w:lang w:eastAsia="zh-CN"/>
        </w:rPr>
        <w:t>大成都范围内，因业务需要的外出，住宿费用不予报销，</w:t>
      </w:r>
      <w:r>
        <w:rPr>
          <w:rFonts w:hint="eastAsia" w:asciiTheme="minorEastAsia" w:hAnsiTheme="minorEastAsia" w:cstheme="minorEastAsia"/>
          <w:color w:val="FF0000"/>
          <w:sz w:val="24"/>
          <w:lang w:eastAsia="zh-CN"/>
        </w:rPr>
        <w:t>交通采用以公共交通为主、其他交通为辅的凭发票报销方式。</w:t>
      </w:r>
    </w:p>
    <w:p>
      <w:pPr>
        <w:spacing w:line="600" w:lineRule="exact"/>
        <w:ind w:firstLine="480" w:firstLineChars="200"/>
        <w:rPr>
          <w:rFonts w:hint="eastAsia" w:asciiTheme="minorEastAsia" w:hAnsiTheme="minorEastAsia" w:cstheme="minorEastAsia"/>
          <w:bCs/>
          <w:sz w:val="24"/>
          <w:lang w:val="en-US" w:eastAsia="zh-CN"/>
        </w:rPr>
      </w:pPr>
      <w:r>
        <w:rPr>
          <w:rFonts w:hint="eastAsia" w:asciiTheme="minorEastAsia" w:hAnsiTheme="minorEastAsia" w:cstheme="minorEastAsia"/>
          <w:sz w:val="24"/>
        </w:rPr>
        <w:t xml:space="preserve">第五条  </w:t>
      </w:r>
      <w:r>
        <w:rPr>
          <w:rFonts w:hint="eastAsia" w:asciiTheme="minorEastAsia" w:hAnsiTheme="minorEastAsia" w:cstheme="minorEastAsia"/>
          <w:bCs/>
          <w:sz w:val="24"/>
          <w:lang w:eastAsia="zh-CN"/>
        </w:rPr>
        <w:t>如遇特殊情况如广交会等，报销费用超过标准范围，需经财务总监与总经理批转方可凭票报销。若动车行车时间超过</w:t>
      </w:r>
      <w:r>
        <w:rPr>
          <w:rFonts w:hint="eastAsia" w:asciiTheme="minorEastAsia" w:hAnsiTheme="minorEastAsia" w:cstheme="minorEastAsia"/>
          <w:bCs/>
          <w:sz w:val="24"/>
          <w:lang w:val="en-US" w:eastAsia="zh-CN"/>
        </w:rPr>
        <w:t>6小时，可预定机票；或者当机票折扣后的价格低于动车，可选择乘坐飞机。</w:t>
      </w:r>
    </w:p>
    <w:p>
      <w:pPr>
        <w:spacing w:line="600" w:lineRule="exact"/>
        <w:ind w:firstLine="480" w:firstLineChars="200"/>
        <w:rPr>
          <w:rFonts w:hint="eastAsia"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第六条  港澳台等境外出差费用根据实际情况，以主管、财务总监、总经理协商后的处理意见为准。同业考察需自费，公司不予报销。</w:t>
      </w:r>
    </w:p>
    <w:p>
      <w:pPr>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w:t>
      </w:r>
      <w:r>
        <w:rPr>
          <w:rFonts w:hint="eastAsia" w:asciiTheme="minorEastAsia" w:hAnsiTheme="minorEastAsia" w:cstheme="minorEastAsia"/>
          <w:sz w:val="24"/>
          <w:lang w:eastAsia="zh-CN"/>
        </w:rPr>
        <w:t>七</w:t>
      </w:r>
      <w:r>
        <w:rPr>
          <w:rFonts w:hint="eastAsia" w:asciiTheme="minorEastAsia" w:hAnsiTheme="minorEastAsia" w:cstheme="minorEastAsia"/>
          <w:sz w:val="24"/>
        </w:rPr>
        <w:t>条  出差人员借支差旅费或临时借款，经办人填写“借款凭证” →部门负责人→分管副总→财务总监→总经理审批后，方予借支；对前次借支出差返回时间超过一月无故未报销者，不得再借款。</w:t>
      </w:r>
    </w:p>
    <w:p>
      <w:pPr>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w:t>
      </w:r>
      <w:r>
        <w:rPr>
          <w:rFonts w:hint="eastAsia" w:asciiTheme="minorEastAsia" w:hAnsiTheme="minorEastAsia" w:cstheme="minorEastAsia"/>
          <w:sz w:val="24"/>
          <w:lang w:eastAsia="zh-CN"/>
        </w:rPr>
        <w:t>八</w:t>
      </w:r>
      <w:r>
        <w:rPr>
          <w:rFonts w:hint="eastAsia" w:asciiTheme="minorEastAsia" w:hAnsiTheme="minorEastAsia" w:cstheme="minorEastAsia"/>
          <w:sz w:val="24"/>
        </w:rPr>
        <w:t>条   借款出差人员回公司后，一个月内应按规定到财务部门报帐，报帐后结欠部分金额或一个月内不办理报销手续的人员欠款，财务部门有权在当月工资中扣回。</w:t>
      </w:r>
    </w:p>
    <w:p>
      <w:pPr>
        <w:spacing w:line="600" w:lineRule="exact"/>
        <w:ind w:firstLine="480" w:firstLineChars="200"/>
        <w:rPr>
          <w:rFonts w:asciiTheme="minorEastAsia" w:hAnsiTheme="minorEastAsia" w:cstheme="minorEastAsia"/>
          <w:b/>
          <w:bCs/>
          <w:sz w:val="24"/>
        </w:rPr>
      </w:pPr>
      <w:r>
        <w:rPr>
          <w:rFonts w:hint="eastAsia" w:asciiTheme="minorEastAsia" w:hAnsiTheme="minorEastAsia" w:cstheme="minorEastAsia"/>
          <w:sz w:val="24"/>
        </w:rPr>
        <w:t>第</w:t>
      </w:r>
      <w:r>
        <w:rPr>
          <w:rFonts w:hint="eastAsia" w:asciiTheme="minorEastAsia" w:hAnsiTheme="minorEastAsia" w:cstheme="minorEastAsia"/>
          <w:sz w:val="24"/>
          <w:lang w:eastAsia="zh-CN"/>
        </w:rPr>
        <w:t>九</w:t>
      </w:r>
      <w:r>
        <w:rPr>
          <w:rFonts w:hint="eastAsia" w:asciiTheme="minorEastAsia" w:hAnsiTheme="minorEastAsia" w:cstheme="minorEastAsia"/>
          <w:sz w:val="24"/>
        </w:rPr>
        <w:t>条   公司人员奉命或因业务需要出差国外时，出差人员须编制出差费用预算，必须由总经理核准出差事由及费用后，于出国前向财务部预借差旅费。报销标准按财政部有关规定执行。</w:t>
      </w:r>
    </w:p>
    <w:p>
      <w:pPr>
        <w:keepNext/>
        <w:spacing w:line="600" w:lineRule="exact"/>
        <w:jc w:val="center"/>
        <w:outlineLvl w:val="0"/>
        <w:rPr>
          <w:rFonts w:asciiTheme="minorEastAsia" w:hAnsiTheme="minorEastAsia" w:cstheme="minorEastAsia"/>
          <w:sz w:val="24"/>
        </w:rPr>
      </w:pPr>
      <w:bookmarkStart w:id="0" w:name="_Toc278902007"/>
      <w:r>
        <w:rPr>
          <w:rFonts w:hint="eastAsia" w:asciiTheme="minorEastAsia" w:hAnsiTheme="minorEastAsia" w:cstheme="minorEastAsia"/>
          <w:b/>
          <w:bCs/>
          <w:sz w:val="24"/>
        </w:rPr>
        <w:t>第七节   出租车费用报销管理规定</w:t>
      </w:r>
      <w:bookmarkEnd w:id="0"/>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为了严格控制乘坐出租车费用的支出，节约费用，制定本规定。</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公司员工外出市内办事，原则上应乘坐市内公共交通工具，如工作需要，先由公司办公室安排用车，在没有车派的情况下，经部门负责人同意方可乘坐出租车，如在外临时需要乘坐出租车，应取得部门负责人同意后，方可乘坐出租车；</w:t>
      </w:r>
    </w:p>
    <w:p>
      <w:pPr>
        <w:spacing w:line="360" w:lineRule="auto"/>
        <w:ind w:left="420" w:leftChars="200"/>
        <w:rPr>
          <w:rFonts w:hint="eastAsia" w:asciiTheme="minorEastAsia" w:hAnsiTheme="minorEastAsia" w:cstheme="minorEastAsia"/>
          <w:sz w:val="24"/>
        </w:rPr>
      </w:pPr>
      <w:r>
        <w:rPr>
          <w:rFonts w:hint="eastAsia" w:asciiTheme="minorEastAsia" w:hAnsiTheme="minorEastAsia" w:cstheme="minorEastAsia"/>
          <w:sz w:val="24"/>
        </w:rPr>
        <w:t xml:space="preserve"> 第二条  报销出租车费用，经办人应填写“费用报销明细单”，按照明细单所列内容</w:t>
      </w:r>
    </w:p>
    <w:p>
      <w:pPr>
        <w:spacing w:line="360" w:lineRule="auto"/>
        <w:ind w:left="420" w:leftChars="200"/>
        <w:rPr>
          <w:rFonts w:asciiTheme="minorEastAsia" w:hAnsiTheme="minorEastAsia" w:cstheme="minorEastAsia"/>
          <w:sz w:val="24"/>
        </w:rPr>
      </w:pPr>
      <w:r>
        <w:rPr>
          <w:rFonts w:hint="eastAsia" w:asciiTheme="minorEastAsia" w:hAnsiTheme="minorEastAsia" w:cstheme="minorEastAsia"/>
          <w:sz w:val="24"/>
        </w:rPr>
        <w:t>写清楚，按费用报销权限和程序办理审批手续。为减少出租车费用报销次数，应将“费用报销明细单”依次填满或在每月末报销。</w:t>
      </w:r>
    </w:p>
    <w:p>
      <w:pPr>
        <w:keepNext/>
        <w:spacing w:line="600" w:lineRule="exact"/>
        <w:jc w:val="center"/>
        <w:outlineLvl w:val="0"/>
        <w:rPr>
          <w:rFonts w:asciiTheme="minorEastAsia" w:hAnsiTheme="minorEastAsia" w:cstheme="minorEastAsia"/>
          <w:b/>
          <w:bCs/>
          <w:sz w:val="24"/>
        </w:rPr>
      </w:pPr>
      <w:bookmarkStart w:id="1" w:name="_Toc278902009"/>
      <w:r>
        <w:rPr>
          <w:rFonts w:hint="eastAsia" w:asciiTheme="minorEastAsia" w:hAnsiTheme="minorEastAsia" w:cstheme="minorEastAsia"/>
          <w:b/>
          <w:bCs/>
          <w:sz w:val="24"/>
        </w:rPr>
        <w:t>第八节  流动资产管理</w:t>
      </w:r>
      <w:bookmarkEnd w:id="1"/>
    </w:p>
    <w:p>
      <w:pPr>
        <w:spacing w:line="52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流动资产包括货币资金、存货和应收款、预付款项等。</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货币资金管理</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一、现金管理：现金管理的使用范围：支付工资、奖金、津贴及其他劳务报酬，员工的福利支出，差旅费，临时借款，零星开支和费用报销；员工非公不得借用公款，不得白条抵库；</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 现金管理的限额：库存现金限额不得超过1000元，按需用量的限额及时向银行存取，现金不得在保险柜以外的地方存放，需妥善保管；</w:t>
      </w:r>
    </w:p>
    <w:p>
      <w:pPr>
        <w:tabs>
          <w:tab w:val="left" w:pos="900"/>
          <w:tab w:val="left" w:pos="1080"/>
        </w:tabs>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 现金管理的其他管理：现金支出必须手续齐全，符合现金管理条例，现金由出纳人员专职管理，日清月结，月末和会计帐目核对相符，收付现金出纳人员细心查验真伪，不得超范围使用现金，现金不得空支，收支现金必须入帐，库存现金要定期进行检查；</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二、银行存款的管理</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1、银行存款的帐户不得出租和出借，按合法有效的付款手续办理结算与银行转帐付款，不得签发空头支票；</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2、设立银行存款日记帐并逐笔登记，月末和总帐核对，未达帐项编制调节进行调整，存款余额不符需及时查明原因并进行处理，其他存款必须清楚并登记帐目；</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应收款项管理</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1、应收款项包括：应收帐款、应收票据、其他应收款、预付帐款等，采用落实到人的办法，本着谁经办，谁追收的原则，由财务部负责监督和提供清单，检查清收情况，定期向公司领导汇报；</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2、各种应收款项应在发生时确认入帐时间，设立明细帐户进行核算，年终决算前要进行全面清理，逐一核对，发现问题及时处理，严禁费用支出列入应收款项，按要求计提企业的坏帐准备金；</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存货是指在生产经营过程中，为销售而储备的材料物资，不同行业的企业中，存货的范围有所不同，存贷按取得时的实际成本入帐。</w:t>
      </w:r>
    </w:p>
    <w:p>
      <w:pPr>
        <w:keepNext/>
        <w:spacing w:line="600" w:lineRule="exact"/>
        <w:ind w:left="560"/>
        <w:jc w:val="center"/>
        <w:outlineLvl w:val="0"/>
        <w:rPr>
          <w:rFonts w:asciiTheme="minorEastAsia" w:hAnsiTheme="minorEastAsia" w:cstheme="minorEastAsia"/>
          <w:b/>
          <w:bCs/>
          <w:sz w:val="24"/>
        </w:rPr>
      </w:pPr>
      <w:r>
        <w:rPr>
          <w:rFonts w:hint="eastAsia" w:asciiTheme="minorEastAsia" w:hAnsiTheme="minorEastAsia" w:cstheme="minorEastAsia"/>
          <w:b/>
          <w:bCs/>
          <w:sz w:val="24"/>
        </w:rPr>
        <w:t xml:space="preserve">第九节    </w:t>
      </w:r>
      <w:bookmarkStart w:id="2" w:name="_Toc278902010"/>
      <w:r>
        <w:rPr>
          <w:rFonts w:hint="eastAsia" w:asciiTheme="minorEastAsia" w:hAnsiTheme="minorEastAsia" w:cstheme="minorEastAsia"/>
          <w:b/>
          <w:bCs/>
          <w:sz w:val="24"/>
        </w:rPr>
        <w:t>固定资产管理</w:t>
      </w:r>
      <w:bookmarkEnd w:id="2"/>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固定资产是指使用年限在1年以上的房屋、建筑物、机器、运输工具及其他与生产经营有关的设备、器具、工具等资产，不属于生产、经营主要设备的物品，单位价值在2000元以上且使用年限超过两年的资产也作为固定资产管理；</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按照固定资产的自然属性分为：房屋建筑物、运输设备、办公设备和其他设备，并按此分类设置帐目；</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固定资产在用、出租（经营性出租）、季节性停用及大修理期间均应按规定计提折旧，采用“平均年限法”计提折旧，计算公式：固定资产年折旧额=[固定资产原值-（残值-清理费用）]÷固定资产使用年限；</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固定资产折旧年限：房屋建筑物20年；机器、机械为5-10年；电子设备按3年；运输设备（车辆）以及经营、办公有关的设备、工具、器具、家具等5年；</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第五条   固定资产的计价按照取得时的实际成本计价：</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1、购入固定资产：按实际支付的买价和增值税额，加上为购买该资产所发生的运输费、包装费、安装调试费作为原值；</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2、自建固定资产：按建造过程中实际发生的全部支出作为原值；</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3、其他单位转入的固定资产：以评估确认或合同、协议确定的价值入帐；</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4、融资租入的固定资产：按租赁协议或合同确定的价款加运输费、保险费、安装试调费等支出作为原值；</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5、改扩建固定资产：按原固定资产净值减去改、扩建过程中发生的变卖收入，加上改、扩建发生的全部支出作为原值；</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6、接受捐增的固定资产：按评估确认的价值或捐赠者提供的有关凭据，加上接受固定资产时发生的各项费用作为原值；</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7、盘盈的固定资产：按重置完全价值作为原值；</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第六条   当发生下列情况时，经公司批准，可以对固定资产进行评估：企业兼并、合资、租赁、拍卖、承包、清算、重整时，企业进行股份制改造时，企业出现固定资产盘盈或接受捐赠时，根据国家规定或认为有必要进行重估时；</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第七条   公司办公室为固定资产的实物归口管理部门，设兼职管理员，负责对固定资产的实物管理，财务部负责对固定资产的帐务核算管理；</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第八条   实物归口管理部门应对固定资产统一编号，编制固定资产分类卡片，设置并登记固定资产台帐（登记簿），定期进行固定资产清查、检查、督促使用部门对固定资产的维护保养，审核使用部门提交的固定资产大修理计划，确保固定资产的安全完好，并做到帐、卡、物相符；</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第九条   固定资产购建实行计划审批制，各部门年初应根据目标任务拟定固定资产投资计划，经公司办公室汇总并报批准后执行，未纳入计划的，应先由使用部门提出申请，按规定程序审批；</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第十条   外购固定资产必须由公司办公室统一办理登记、具体使用部门办理领用手续后，由经办人持相关手续及合法发票到财务办理入帐及付款，固定资产在建工程完成后，必须由相关部门组织验收，验收合格后方可投入使用验收人员在对报请验收的固定资产进行验收时，必须依据合同和技术规范以及相关的法律文件和票据进行验收，并出具验收报告，无验收报告或票据不全者，财务部不得入帐；</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第十一条   固定资产大修理应由使用部门制定年度计划，经公司办公室审核并报公司领导审批后，由公司办公室统一安排实施，大修理期间，使用部门应派专人负责检查落实，以保证大修理质量和时间；</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第十二条   固定资产因使用磨损、自然灾害或非常事故导致无法继续使用时应就当报废，由于技术进步而形成的落后淘汰产品可以提前报废，使用部门书面填制固定资产报废申请单，说明资产现状和报废原因报公司办公室，公司办公室应详细了解有关情况，提出处理意见并报公司领导批准后实施；</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第十三条   每年年末，由公司办公室组织，财务部及各使用部门参与，对固定资产进行全面盘点清查，并填制固定资产盘点表，发现盘盈、盈亏，应及时查明原因并写出盘盈（亏）报告，按规定权限报批处理；</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第十四条   对未使用的固定资产，经公司领导批准后，可以对外出售和出租，在办妥有关手续后，财务部作帐务处理；</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第十五条   单位价值不超过2000元的工具、器具、用品等列为低值易耗品，此类物品的添置、领用和报废由办公室统一管理并登记台帐，低值易耗品核算采用一次摊销法；</w:t>
      </w:r>
    </w:p>
    <w:p>
      <w:pPr>
        <w:keepNext/>
        <w:tabs>
          <w:tab w:val="left" w:pos="-105"/>
        </w:tabs>
        <w:spacing w:line="600" w:lineRule="exact"/>
        <w:jc w:val="center"/>
        <w:outlineLvl w:val="0"/>
        <w:rPr>
          <w:rFonts w:asciiTheme="minorEastAsia" w:hAnsiTheme="minorEastAsia" w:cstheme="minorEastAsia"/>
          <w:sz w:val="24"/>
        </w:rPr>
      </w:pPr>
      <w:bookmarkStart w:id="3" w:name="_Toc278902011"/>
      <w:r>
        <w:rPr>
          <w:rFonts w:hint="eastAsia" w:asciiTheme="minorEastAsia" w:hAnsiTheme="minorEastAsia" w:cstheme="minorEastAsia"/>
          <w:b/>
          <w:bCs/>
          <w:sz w:val="24"/>
        </w:rPr>
        <w:t>第十节   无形资产和递延资产管理</w:t>
      </w:r>
      <w:bookmarkEnd w:id="3"/>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无形资产是指长期使用但没有实物形式的资产,包括专利权、商标权、著作权、土地使用权、非专有技术和商誉等；</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无形资产的计价按照取得时的实际成本计价；</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1、投资者作为资本金或合作条件投入的，按照评估确认或合同、协议约定的金额计价，外购无形资产，按照实际支付的价款，加上支出的手续费等相关的费用计价；</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2、自行开发并经法律程序认可的，按照开发过程中实际支出，加上评估相关费用计价，接受捐赠，按照所附单据或参照同类无形资产的市价计算；</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3、商誉应按照法定评估机构和确认价值计价，除发生企业合并外，商誉不得作价入帐；</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无形资产入帐后,从受益之日起,按期限平均摊销,无形资产摊销期限,法律、合同规定有效期限或收益年限的,按有效受益年限平均摊销,没有特殊规定的,应按不小于十年的期限摊销；</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无形资产转让时,应签定转让合同(协议),其转让收入作为公司的其他业务收入,而相对应的成本,按该无形资产的摊余价值计算,并加上按合同规定应履行义务而支出的费用计算;</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递延资产是指不能全部计入当期损益,应当在以后年度内摊销的各项费用,包括开办费、固定资产大修理支出、装修费、租入固定资产改良支出等，开办费是指企业在筹建期内发生的人员工资、办公费、培训费、差旅费、注册登记费以及不计入固定资产和无形资产购建成本的汇兑损益和利息支出等费用，开办费应自开始生产经营之日起当年度一次摊销。</w:t>
      </w:r>
    </w:p>
    <w:p>
      <w:pPr>
        <w:keepNext/>
        <w:tabs>
          <w:tab w:val="left" w:pos="-105"/>
        </w:tabs>
        <w:spacing w:line="600" w:lineRule="exact"/>
        <w:ind w:firstLine="482" w:firstLineChars="200"/>
        <w:jc w:val="center"/>
        <w:outlineLvl w:val="0"/>
        <w:rPr>
          <w:rFonts w:asciiTheme="minorEastAsia" w:hAnsiTheme="minorEastAsia" w:cstheme="minorEastAsia"/>
          <w:sz w:val="24"/>
        </w:rPr>
      </w:pPr>
      <w:bookmarkStart w:id="4" w:name="_Toc278902012"/>
      <w:r>
        <w:rPr>
          <w:rFonts w:hint="eastAsia" w:asciiTheme="minorEastAsia" w:hAnsiTheme="minorEastAsia" w:cstheme="minorEastAsia"/>
          <w:b/>
          <w:bCs/>
          <w:sz w:val="24"/>
        </w:rPr>
        <w:t>第十一节   成本与费用管理</w:t>
      </w:r>
      <w:bookmarkEnd w:id="4"/>
    </w:p>
    <w:p>
      <w:pPr>
        <w:tabs>
          <w:tab w:val="left" w:pos="-105"/>
        </w:tabs>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成本按会计核算应设开发成本，费用包括管理费用、财务费用及销售费用；</w:t>
      </w:r>
    </w:p>
    <w:p>
      <w:pPr>
        <w:tabs>
          <w:tab w:val="left" w:pos="-105"/>
        </w:tabs>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开发成本核算企业在土地、房屋、配套设施和开发过程中所发生的各项费用，开发成本核算内容：1、土地征用及拆迁补偿费用；2、前期工程费；3、建筑安装费；4、基础设计建设费；5、公共配套设施；6、开发间接费；</w:t>
      </w:r>
    </w:p>
    <w:p>
      <w:pPr>
        <w:tabs>
          <w:tab w:val="left" w:pos="-105"/>
        </w:tabs>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公司发生的土地征用及拆迁补偿费、前期工程费、建筑安装费、基础设施建设费、公共配套费、属直接费用，直接记入有关成本核算的成本项目中。应由开发产品负担的间接费用，如项目开发贷款利息支出、工程管理费、项目营销费用等，应先在“开发间接费”科目进行归集，月末再按一定的分配标准计入有关的开发产品成本。</w:t>
      </w:r>
    </w:p>
    <w:p>
      <w:pPr>
        <w:tabs>
          <w:tab w:val="left" w:pos="-105"/>
        </w:tabs>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企业已经开发完成并验收合格的土地、房屋、配套设施等，应及时进行成本结转，按实际成本转入开发产品或者投资性房地产科目；</w:t>
      </w:r>
    </w:p>
    <w:p>
      <w:pPr>
        <w:tabs>
          <w:tab w:val="left" w:pos="-105"/>
        </w:tabs>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第五条    企业进行流动资金的筹集理财活动而发生的利息支出，以及企业为组织和管理房地产开发经营活动而发生的各项费用应作为期间费用，直接计入当期损益，包括财务费用、管理费用、销售费用；</w:t>
      </w:r>
    </w:p>
    <w:p>
      <w:pPr>
        <w:tabs>
          <w:tab w:val="left" w:pos="-105"/>
        </w:tabs>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1、划清成本费用与非成本费用支出的界限，不得把资本性开支列入成本费用；</w:t>
      </w:r>
    </w:p>
    <w:p>
      <w:pPr>
        <w:tabs>
          <w:tab w:val="left" w:pos="-105"/>
        </w:tabs>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2、按照国家规定的费用开支范围，据实反映费用支出，不得虚增虚列、隐瞒不列、超支超列，坚持“量入为出，勤俭节约，合理高效”的原则，努力降低费用开支；</w:t>
      </w:r>
    </w:p>
    <w:p>
      <w:pPr>
        <w:tabs>
          <w:tab w:val="left" w:pos="-105"/>
        </w:tabs>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第六条   下列支出不得列入成本费用：为购置和建造固定资产、无形资产和其它资产的支出，对外投资的支出，与企业的生产经营无关的费用性支出，没收的财物、滞纳金、罚款、赔偿费、企业赞助、捐赠支出，国家法律法规规定。</w:t>
      </w:r>
    </w:p>
    <w:p>
      <w:pPr>
        <w:keepNext/>
        <w:tabs>
          <w:tab w:val="left" w:pos="-105"/>
        </w:tabs>
        <w:spacing w:line="600" w:lineRule="exact"/>
        <w:ind w:firstLine="482" w:firstLineChars="200"/>
        <w:jc w:val="center"/>
        <w:outlineLvl w:val="0"/>
        <w:rPr>
          <w:rFonts w:asciiTheme="minorEastAsia" w:hAnsiTheme="minorEastAsia" w:cstheme="minorEastAsia"/>
          <w:b/>
          <w:bCs/>
          <w:sz w:val="24"/>
        </w:rPr>
      </w:pPr>
      <w:bookmarkStart w:id="5" w:name="_Toc278902013"/>
      <w:r>
        <w:rPr>
          <w:rFonts w:hint="eastAsia" w:asciiTheme="minorEastAsia" w:hAnsiTheme="minorEastAsia" w:cstheme="minorEastAsia"/>
          <w:b/>
          <w:bCs/>
          <w:sz w:val="24"/>
        </w:rPr>
        <w:t>第十二节   营业收入、利润及利润分配管理</w:t>
      </w:r>
      <w:bookmarkEnd w:id="5"/>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营业收入是指公司在生产经营活动中，销售商品、提供劳务及服务等所取得的各项收入，分为主营业务收入和其他业务收入；</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实现营业收入的确认，一般依据以下标准：销售商品：根据销售合同发出商品时，即可确认营业收入，提供劳务：按照提供劳务的合同进行确认，提供他人使用资产的收入，按合同规定的收费时间和方法计算确认营业收入；</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发生的销售折让和销售折扣，应当冲减当期营业收入，不能作为费用列支，并且加强对销售折让和销售折扣审批权限的管理，应当按照规定的核准程序进行审批，不提随意或越权审批；</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发生的销售实现后的退货，应由营销部办理相关退货手续，经核对准确后方可办理退回货款，并据以冲减营业收入和营业成本，另外，在核算销售业务人员的销售额时，退货应冲减其考核销售额；</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第五条   营业成本以产品的实际生产或商品的实际采购成本为依据，相对应已实现收入的货物数量，按实际成本结转，不得少转或多转成本；</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第六条    利润是指公司在一定期间的经营成果，包括营业利润、投资净收益和营业外收支净额；</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1、营业利润是指营业收入减去营业成本、期间费用和各种流转税和附加税之后的余额，它是利润的主要</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第七条   本公司对利润的计算,是采用“帐结法”“按月计算利润总额”；</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第八条   所得税：按照税法的规定，对利润总额作相应的调整后，及时、准确地申报和缴纳企业所得税；</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第九条   利润分配：利润总额减去所得税后为净利润，净利润加上年初未分配利润，构成可供分配的利润，</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按下列顺序分配：</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1、弥补以前的亏损；</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2、提取法定公积金；</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3、提取公益金；</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4、向投资者分配利润。来源，包括主营业务利润和其他业务利润；</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2、主营业务利润:是由主营业务收入减去主营业业务成本以及相应负担的流转税之后的余额；</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3、其他业务利润:是指主营业务以外的其他业务活动所产生的利润；</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4、营业利润的计算是由主营业务利润与其他业务利润之和,再减去期间费用；</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5、投资净收益:是指公司对外投资收入减去投资损失后余额；</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6、营业外收支净额:是指公司生产经营活动没有直接关系的各项营业外收入同营业外支出的净额；</w:t>
      </w:r>
    </w:p>
    <w:p>
      <w:pPr>
        <w:tabs>
          <w:tab w:val="left" w:pos="-105"/>
        </w:tabs>
        <w:spacing w:line="600" w:lineRule="exact"/>
        <w:ind w:firstLine="480" w:firstLineChars="200"/>
        <w:rPr>
          <w:rFonts w:asciiTheme="minorEastAsia" w:hAnsiTheme="minorEastAsia" w:cstheme="minorEastAsia"/>
          <w:sz w:val="24"/>
        </w:rPr>
      </w:pPr>
    </w:p>
    <w:p>
      <w:pPr>
        <w:keepNext/>
        <w:tabs>
          <w:tab w:val="left" w:pos="-105"/>
        </w:tabs>
        <w:spacing w:line="600" w:lineRule="exact"/>
        <w:ind w:firstLine="1566" w:firstLineChars="650"/>
        <w:jc w:val="center"/>
        <w:outlineLvl w:val="0"/>
        <w:rPr>
          <w:rFonts w:asciiTheme="minorEastAsia" w:hAnsiTheme="minorEastAsia" w:cstheme="minorEastAsia"/>
          <w:sz w:val="24"/>
        </w:rPr>
      </w:pPr>
      <w:bookmarkStart w:id="6" w:name="_Toc278902014"/>
      <w:r>
        <w:rPr>
          <w:rFonts w:hint="eastAsia" w:asciiTheme="minorEastAsia" w:hAnsiTheme="minorEastAsia" w:cstheme="minorEastAsia"/>
          <w:b/>
          <w:bCs/>
          <w:sz w:val="24"/>
        </w:rPr>
        <w:t>第十三节    会计电算化管理制度</w:t>
      </w:r>
      <w:bookmarkEnd w:id="6"/>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为了加强对会计电算化工作的管理，操作人员经过培训上岗，持证上岗，根据岗位确定相应的权限；</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操作人员严格遵守电脑的开、关机步骤，保证电脑的清洁，操作人员注意密码的保密，一旦泄密，及时更换密码；</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未经许可的外来软盘，如确实需要，要进行必要的检测和消毒处理；</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使用财务软件，需严格设定软件管理权限；</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第五条    操作人员需保证登录密码的机密性，不得相互告知密码；</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第六条    软件系统管理员对离职操作人员立刻删除其登录权限，并对其电脑中与工作相关的电子资料进行封存检查。</w:t>
      </w:r>
    </w:p>
    <w:p>
      <w:pPr>
        <w:keepNext/>
        <w:tabs>
          <w:tab w:val="left" w:pos="-105"/>
        </w:tabs>
        <w:spacing w:line="600" w:lineRule="exact"/>
        <w:jc w:val="center"/>
        <w:outlineLvl w:val="0"/>
        <w:rPr>
          <w:rFonts w:asciiTheme="minorEastAsia" w:hAnsiTheme="minorEastAsia" w:cstheme="minorEastAsia"/>
          <w:b/>
          <w:bCs/>
          <w:sz w:val="24"/>
        </w:rPr>
      </w:pPr>
      <w:bookmarkStart w:id="7" w:name="_Toc278902015"/>
      <w:r>
        <w:rPr>
          <w:rFonts w:hint="eastAsia" w:asciiTheme="minorEastAsia" w:hAnsiTheme="minorEastAsia" w:cstheme="minorEastAsia"/>
          <w:b/>
          <w:bCs/>
          <w:sz w:val="24"/>
        </w:rPr>
        <w:t>第十四节   发票和收据使用管理</w:t>
      </w:r>
      <w:bookmarkEnd w:id="7"/>
    </w:p>
    <w:p>
      <w:pPr>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公司必须按发票管理规定，正确使用发票；发票和收据不得转借、转让，不得代其他单位开发票；</w:t>
      </w:r>
    </w:p>
    <w:p>
      <w:pPr>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收据的填写必须字迹清楚，不得涂改，如填写有误，应另行开具收据，并在误填的收据上注明“作废”；</w:t>
      </w:r>
    </w:p>
    <w:p>
      <w:pPr>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发票管理：实行专人管理，妥善保管，防止丢失、被盗。如因保管不善，遗失发票及收据，造成后果由发票保管人负责；</w:t>
      </w:r>
    </w:p>
    <w:p>
      <w:pPr>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各分支机构发票管理：</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rPr>
        <w:t>各个分开票点需确定专人负责发票的管理、开具、领退等日常工作。</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rPr>
        <w:t>领用发票时需在总部登记领用日期、数量、发票起止号及经办人。</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rPr>
        <w:t>用票人需明确每月用票量及开票限额，如遇淡旺季变化，请及时向总部报告调整。</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rPr>
        <w:t>开票员不得相互转借、转让、泄露操作用户名及密码。</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rPr>
        <w:t>开票员严格按照规定的号码顺序，全部联次一次性如实开具。开具发票时，机内发票号码与纸质发票号码核对一致，严防错号。</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rPr>
        <w:t>所有发票均盖总部发票专用章。</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rPr>
        <w:t>各分开票点需在规定时间之前，准时将发票开具的相关数据整理好后，提交总部财务。</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rPr>
        <w:t>未使用完所领发票、未报送完整发票电子信息和未到总部报账的分开票点，不能申请领用新一批次的发票。</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rPr>
        <w:t>各分开票点一律不允许出具“其他服务业”发票，如“会务费”发票。</w:t>
      </w:r>
    </w:p>
    <w:p>
      <w:pPr>
        <w:numPr>
          <w:ilvl w:val="0"/>
          <w:numId w:val="4"/>
        </w:numPr>
        <w:spacing w:line="600" w:lineRule="exact"/>
        <w:rPr>
          <w:rFonts w:asciiTheme="minorEastAsia" w:hAnsiTheme="minorEastAsia" w:cstheme="minorEastAsia"/>
          <w:sz w:val="24"/>
        </w:rPr>
      </w:pPr>
      <w:r>
        <w:rPr>
          <w:rFonts w:hint="eastAsia" w:asciiTheme="minorEastAsia" w:hAnsiTheme="minorEastAsia" w:cstheme="minorEastAsia"/>
          <w:sz w:val="24"/>
        </w:rPr>
        <w:t>旅游业发票可开项目内容为旅游团费——团负责收发及建档保管，会计人员每月需进行检查。</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highlight w:val="red"/>
          <w:lang w:eastAsia="zh-CN"/>
        </w:rPr>
        <w:t>开发票的税金为</w:t>
      </w:r>
      <w:r>
        <w:rPr>
          <w:rFonts w:hint="eastAsia" w:asciiTheme="minorEastAsia" w:hAnsiTheme="minorEastAsia" w:cstheme="minorEastAsia"/>
          <w:sz w:val="24"/>
          <w:highlight w:val="red"/>
          <w:lang w:val="en-US" w:eastAsia="zh-CN"/>
        </w:rPr>
        <w:t>9%,应当提供票面金额</w:t>
      </w:r>
      <w:r>
        <w:rPr>
          <w:rFonts w:hint="eastAsia" w:asciiTheme="minorEastAsia" w:hAnsiTheme="minorEastAsia" w:cstheme="minorEastAsia"/>
          <w:sz w:val="24"/>
        </w:rPr>
        <w:t>费。各分开票点需及时做好发票电子信息备份工作，若用票人因计算机软、硬故障问题损毁、丢失机打发票电子信息的，由用票人自行恢复。</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rPr>
        <w:t>分开票点不按照规定开具发票，如：开具“鸳鸯发票”、开具“其他服务业”发票、开具不属于上述第10条收款项目的发票等，第一次警告或处罚200元，以后处罚500元。</w:t>
      </w:r>
    </w:p>
    <w:p>
      <w:pPr>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第五条  发票丢失应立即向主管税务机关和公司领导报告，并登报予以公告；</w:t>
      </w:r>
    </w:p>
    <w:p>
      <w:pPr>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第六条  企业必须凭合法的发票入帐，凡与公司成本、费用、资产有关的付出，均应索取合法发票；</w:t>
      </w:r>
    </w:p>
    <w:p>
      <w:pPr>
        <w:numPr>
          <w:ilvl w:val="0"/>
          <w:numId w:val="4"/>
        </w:numPr>
        <w:spacing w:line="600" w:lineRule="exact"/>
        <w:rPr>
          <w:rFonts w:hint="eastAsia" w:asciiTheme="minorEastAsia" w:hAnsiTheme="minorEastAsia" w:cstheme="minorEastAsia"/>
          <w:sz w:val="24"/>
          <w:highlight w:val="red"/>
          <w:lang w:val="en-US" w:eastAsia="zh-CN"/>
        </w:rPr>
      </w:pPr>
      <w:r>
        <w:rPr>
          <w:rFonts w:hint="eastAsia" w:asciiTheme="minorEastAsia" w:hAnsiTheme="minorEastAsia" w:cstheme="minorEastAsia"/>
          <w:sz w:val="24"/>
          <w:highlight w:val="red"/>
          <w:lang w:val="en-US" w:eastAsia="zh-CN"/>
        </w:rPr>
        <w:t>开发票及进公账的要求</w:t>
      </w:r>
    </w:p>
    <w:p>
      <w:pPr>
        <w:numPr>
          <w:ilvl w:val="0"/>
          <w:numId w:val="0"/>
        </w:numPr>
        <w:spacing w:line="600" w:lineRule="exact"/>
        <w:rPr>
          <w:rFonts w:hint="eastAsia" w:asciiTheme="minorEastAsia" w:hAnsiTheme="minorEastAsia" w:cstheme="minorEastAsia"/>
          <w:sz w:val="24"/>
          <w:highlight w:val="red"/>
          <w:lang w:val="en-US" w:eastAsia="zh-CN"/>
        </w:rPr>
      </w:pPr>
      <w:r>
        <w:rPr>
          <w:rFonts w:hint="eastAsia" w:asciiTheme="minorEastAsia" w:hAnsiTheme="minorEastAsia" w:cstheme="minorEastAsia"/>
          <w:sz w:val="24"/>
          <w:highlight w:val="red"/>
          <w:lang w:val="en-US" w:eastAsia="zh-CN"/>
        </w:rPr>
        <w:t xml:space="preserve"> 1：成本票的要求：按开票金额95%准备成本票，成本票要配套使用（最少3样以上）机票、门票、餐饮、住宿、团费票、签证票等。</w:t>
      </w:r>
    </w:p>
    <w:p>
      <w:pPr>
        <w:numPr>
          <w:ilvl w:val="0"/>
          <w:numId w:val="0"/>
        </w:numPr>
        <w:spacing w:line="360" w:lineRule="auto"/>
        <w:ind w:leftChars="0"/>
        <w:rPr>
          <w:rFonts w:hint="eastAsia" w:asciiTheme="minorEastAsia" w:hAnsiTheme="minorEastAsia" w:cstheme="minorEastAsia"/>
          <w:sz w:val="24"/>
          <w:highlight w:val="red"/>
          <w:lang w:val="en-US" w:eastAsia="zh-CN"/>
        </w:rPr>
      </w:pPr>
      <w:r>
        <w:rPr>
          <w:rFonts w:hint="eastAsia" w:asciiTheme="minorEastAsia" w:hAnsiTheme="minorEastAsia" w:cstheme="minorEastAsia"/>
          <w:sz w:val="24"/>
          <w:highlight w:val="red"/>
          <w:lang w:val="en-US" w:eastAsia="zh-CN"/>
        </w:rPr>
        <w:t xml:space="preserve"> 2：费用票的要求：按开票金额5%准备费用票，费用票包括：办公费、交通费</w:t>
      </w:r>
      <w:bookmarkStart w:id="13" w:name="_GoBack"/>
      <w:bookmarkEnd w:id="13"/>
      <w:r>
        <w:rPr>
          <w:rFonts w:hint="eastAsia" w:asciiTheme="minorEastAsia" w:hAnsiTheme="minorEastAsia" w:cstheme="minorEastAsia"/>
          <w:sz w:val="24"/>
          <w:highlight w:val="red"/>
          <w:lang w:val="en-US" w:eastAsia="zh-CN"/>
        </w:rPr>
        <w:t>（出租车、滴滴打车开具的增值税发票）、旅游大巴车过路费、大车柴油费（含0号柴油）、通讯费、保险费、停车费、办公耗材、快递费等。</w:t>
      </w:r>
    </w:p>
    <w:p>
      <w:pPr>
        <w:numPr>
          <w:ilvl w:val="0"/>
          <w:numId w:val="0"/>
        </w:numPr>
        <w:spacing w:line="360" w:lineRule="auto"/>
        <w:ind w:leftChars="0"/>
        <w:rPr>
          <w:rFonts w:hint="eastAsia" w:asciiTheme="minorEastAsia" w:hAnsiTheme="minorEastAsia" w:cstheme="minorEastAsia"/>
          <w:sz w:val="24"/>
          <w:highlight w:val="red"/>
        </w:rPr>
      </w:pPr>
      <w:r>
        <w:rPr>
          <w:rFonts w:hint="eastAsia" w:asciiTheme="minorEastAsia" w:hAnsiTheme="minorEastAsia" w:cstheme="minorEastAsia"/>
          <w:sz w:val="24"/>
          <w:highlight w:val="red"/>
          <w:lang w:val="en-US" w:eastAsia="zh-CN"/>
        </w:rPr>
        <w:t xml:space="preserve"> 3：需提前准备抵扣票，不能拖欠，拖欠将不开具发票。如不能提供发票，则按8%收取税金。增值税普通发票一经开具，不得作废，不退税。（尽量票面不要开大额，开发票必须同时具备合同原件/协议（供应商协议或签订三方协议或真实有效的确认件）+复印件、成本票、费用票、税金，否则一律不开。</w:t>
      </w:r>
    </w:p>
    <w:p>
      <w:pPr>
        <w:keepNext/>
        <w:tabs>
          <w:tab w:val="left" w:pos="-105"/>
        </w:tabs>
        <w:spacing w:line="600" w:lineRule="exact"/>
        <w:jc w:val="center"/>
        <w:outlineLvl w:val="0"/>
        <w:rPr>
          <w:rFonts w:asciiTheme="minorEastAsia" w:hAnsiTheme="minorEastAsia" w:cstheme="minorEastAsia"/>
          <w:sz w:val="24"/>
        </w:rPr>
      </w:pPr>
      <w:bookmarkStart w:id="8" w:name="_Toc278902016"/>
      <w:r>
        <w:rPr>
          <w:rFonts w:hint="eastAsia" w:asciiTheme="minorEastAsia" w:hAnsiTheme="minorEastAsia" w:cstheme="minorEastAsia"/>
          <w:b/>
          <w:bCs/>
          <w:sz w:val="24"/>
        </w:rPr>
        <w:t>第十五节    票据管理</w:t>
      </w:r>
      <w:bookmarkEnd w:id="8"/>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为了加强会计核算工作，完善财务管理制度，确保票据妥善保管，制定本制度；</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支票由出纳员专人保管，原则上不准签发空白抬头或金额的支票，如确实需要，应由公司领导及财务部部长同意，并在支票上注明最高限额，由领用人负责收回相关的报销凭证，由财务人员核准后，方可报销；</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建立支票领用备查簿，依序登记领用人，领用支票日期、领用支票用途及注销日期，对已作废支票，加盖“作废”印章后妥善处理；定期对空白支票，银行票据（承兑汇票等）的保管、领用进行检查。</w:t>
      </w:r>
    </w:p>
    <w:p>
      <w:pPr>
        <w:keepNext/>
        <w:tabs>
          <w:tab w:val="left" w:pos="-105"/>
        </w:tabs>
        <w:spacing w:line="600" w:lineRule="exact"/>
        <w:jc w:val="center"/>
        <w:outlineLvl w:val="0"/>
        <w:rPr>
          <w:rFonts w:asciiTheme="minorEastAsia" w:hAnsiTheme="minorEastAsia" w:cstheme="minorEastAsia"/>
          <w:sz w:val="24"/>
        </w:rPr>
      </w:pPr>
      <w:bookmarkStart w:id="9" w:name="_Toc278902017"/>
      <w:r>
        <w:rPr>
          <w:rFonts w:hint="eastAsia" w:asciiTheme="minorEastAsia" w:hAnsiTheme="minorEastAsia" w:cstheme="minorEastAsia"/>
          <w:b/>
          <w:bCs/>
          <w:sz w:val="24"/>
        </w:rPr>
        <w:t>第十六节     财产清查</w:t>
      </w:r>
      <w:bookmarkEnd w:id="9"/>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为了加强对公司财产管理，防止资产流失，确保企业财产物资的完全完整、帐实相符，制定本制度；</w:t>
      </w:r>
    </w:p>
    <w:p>
      <w:pPr>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存货清查规定：</w:t>
      </w:r>
    </w:p>
    <w:p>
      <w:pPr>
        <w:numPr>
          <w:ilvl w:val="1"/>
          <w:numId w:val="5"/>
        </w:numPr>
        <w:tabs>
          <w:tab w:val="left" w:pos="1080"/>
          <w:tab w:val="clear" w:pos="1700"/>
        </w:tabs>
        <w:spacing w:line="600" w:lineRule="exact"/>
        <w:ind w:left="0" w:firstLine="480" w:firstLineChars="200"/>
        <w:rPr>
          <w:rFonts w:asciiTheme="minorEastAsia" w:hAnsiTheme="minorEastAsia" w:cstheme="minorEastAsia"/>
          <w:sz w:val="24"/>
        </w:rPr>
      </w:pPr>
      <w:r>
        <w:rPr>
          <w:rFonts w:hint="eastAsia" w:asciiTheme="minorEastAsia" w:hAnsiTheme="minorEastAsia" w:cstheme="minorEastAsia"/>
          <w:sz w:val="24"/>
        </w:rPr>
        <w:t>存货是指公司在经营过程中为销售或经营储备的各项资产，包括房屋、土地使用权、库存材料、低值易耗品等，低值易耗品及日常办公设备由办公室按排专人管理，定期或不定期进行清查；</w:t>
      </w:r>
    </w:p>
    <w:p>
      <w:pPr>
        <w:tabs>
          <w:tab w:val="left" w:pos="-105"/>
          <w:tab w:val="left" w:pos="1080"/>
          <w:tab w:val="left" w:pos="1440"/>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2、由办公室牵头每年进行一次全面的实物盘点工作，并逐项进行对照登记，做到帐实相符，确保财产的完全和完整，如发现财产盈或亏，应及时书面报告，批准后报财务部进行相应的帐务处理；</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固定资产清查按规定办理</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1、办公室牵头每年进行一次全面的固定资产盘点工作，于年末列出固定资产清单交使用部门核对确认，正常使用、闲置、报废的固定资产实行分别管理；</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新购入的固定资产，以购入价加运输、装卸、包装、保险、安装及相关税金作为原价入帐，在清查中将报废、损坏的固定资产及其原价填写“固定资产报废表”，并注明原因办理报批手续，经批准后进行帐务处理，盘盈的按同类固定资产的重估完全价格，报批后，计入营业外收入，盘亏、损坏、报废的固定资产，按原价格折扣、变价收入和过失及保险公司赔偿后的差额报批后，计入营业外支出。</w:t>
      </w:r>
    </w:p>
    <w:p>
      <w:pPr>
        <w:keepNext/>
        <w:tabs>
          <w:tab w:val="left" w:pos="-105"/>
        </w:tabs>
        <w:spacing w:line="600" w:lineRule="exact"/>
        <w:jc w:val="center"/>
        <w:outlineLvl w:val="0"/>
        <w:rPr>
          <w:rFonts w:asciiTheme="minorEastAsia" w:hAnsiTheme="minorEastAsia" w:cstheme="minorEastAsia"/>
          <w:sz w:val="24"/>
        </w:rPr>
      </w:pPr>
      <w:bookmarkStart w:id="10" w:name="_Toc278902018"/>
      <w:r>
        <w:rPr>
          <w:rFonts w:hint="eastAsia" w:asciiTheme="minorEastAsia" w:hAnsiTheme="minorEastAsia" w:cstheme="minorEastAsia"/>
          <w:b/>
          <w:bCs/>
          <w:sz w:val="24"/>
        </w:rPr>
        <w:t>第十七节    审计及税务</w:t>
      </w:r>
      <w:bookmarkEnd w:id="10"/>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审计是实施对经济活动过程的监督和签证，审计分内部审计和外部审计，内部审计是接受公司审计部门定期或不定期的审计，外部审计是委托有审计资格的会计师事务所或审计师事务所进行的审计及接受国家审计部门的审计；</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公司会计人员可以依照公司公司的相关规定进行对照检查、以便接受公司内部审计，需要时请其为公司会计业务及经济活动进行指导；</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公司财务会计机构及人员按照国家及地方法律和税务规定，各项税款依照相应的税率按期申报和纳税；</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公司外部审计机构应该自国资委认可的备选库中招标产生；</w:t>
      </w:r>
    </w:p>
    <w:p>
      <w:pPr>
        <w:tabs>
          <w:tab w:val="left" w:pos="-105"/>
        </w:tabs>
        <w:spacing w:line="600" w:lineRule="exact"/>
        <w:ind w:firstLine="480" w:firstLineChars="200"/>
        <w:rPr>
          <w:rFonts w:asciiTheme="minorEastAsia" w:hAnsiTheme="minorEastAsia" w:cstheme="minorEastAsia"/>
          <w:b/>
          <w:bCs/>
          <w:sz w:val="24"/>
        </w:rPr>
      </w:pPr>
      <w:r>
        <w:rPr>
          <w:rFonts w:hint="eastAsia" w:asciiTheme="minorEastAsia" w:hAnsiTheme="minorEastAsia" w:cstheme="minorEastAsia"/>
          <w:sz w:val="24"/>
        </w:rPr>
        <w:t>第五条   公司每年均需进行年报审计，年报审计事务所选定后，原则上三年为一个更换期。</w:t>
      </w:r>
    </w:p>
    <w:p>
      <w:pPr>
        <w:keepNext/>
        <w:tabs>
          <w:tab w:val="left" w:pos="-105"/>
        </w:tabs>
        <w:spacing w:line="600" w:lineRule="exact"/>
        <w:ind w:firstLine="1928" w:firstLineChars="800"/>
        <w:outlineLvl w:val="0"/>
        <w:rPr>
          <w:rFonts w:asciiTheme="minorEastAsia" w:hAnsiTheme="minorEastAsia" w:cstheme="minorEastAsia"/>
          <w:sz w:val="24"/>
        </w:rPr>
      </w:pPr>
      <w:bookmarkStart w:id="11" w:name="_Toc278902019"/>
      <w:r>
        <w:rPr>
          <w:rFonts w:hint="eastAsia" w:asciiTheme="minorEastAsia" w:hAnsiTheme="minorEastAsia" w:cstheme="minorEastAsia"/>
          <w:b/>
          <w:bCs/>
          <w:sz w:val="24"/>
          <w:lang w:val="en-US" w:eastAsia="zh-CN"/>
        </w:rPr>
        <w:t xml:space="preserve">               </w:t>
      </w:r>
      <w:r>
        <w:rPr>
          <w:rFonts w:hint="eastAsia" w:asciiTheme="minorEastAsia" w:hAnsiTheme="minorEastAsia" w:cstheme="minorEastAsia"/>
          <w:b/>
          <w:bCs/>
          <w:sz w:val="24"/>
        </w:rPr>
        <w:t>第十八节    会计档案管理</w:t>
      </w:r>
      <w:bookmarkEnd w:id="11"/>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为了加强档案管理，统一会计档案管理制度，根据《会计法》、《档案法》的规定，结合公司情况制定本制度；</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会计档案指会计凭证、会计帐簿、会计报表、会计资料备份磁盘等会计核算专业材料；</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公司每年的会计档案应由财务部按归档要求，负责整理、立卷或装订成册并交档案室，当年会计档案，在会计年度终了后，暂由财务部保管，任何人不得自行封包保存；</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财务部指定专人对会计档案进行妥善保管，存放有序，查找方便，同时，严格执行安全和保密制度，不得随意堆放，严防毁坏、散失和泄密；</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第五条   保存的会计档案，非财会人员不得借阅和查看，外单位提供利用时，须经公司主管领导及财务部长签字批准，会计档案原则上不得借出；</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第六条   会计档案撤消、合并时应随同单位的全部档案一并移交给指定的单位，并按规定办理交接手续，各种会计档案的保管期限，根据其特点，分永久、定期两类；</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第七条   会计档案保管期满，需要销毁时，由财务部提出销毁意见，严格审查鉴定，编造会计档案销毁清册，并报公司领导审查，经批准后销毁。</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br w:type="page"/>
      </w:r>
      <w:bookmarkStart w:id="12" w:name="_Toc278902020"/>
      <w:r>
        <w:rPr>
          <w:rFonts w:hint="eastAsia" w:asciiTheme="minorEastAsia" w:hAnsiTheme="minorEastAsia" w:cstheme="minorEastAsia"/>
          <w:sz w:val="24"/>
        </w:rPr>
        <w:t>附一：</w:t>
      </w:r>
      <w:bookmarkEnd w:id="12"/>
    </w:p>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会计档案保管期限表</w:t>
      </w:r>
    </w:p>
    <w:tbl>
      <w:tblPr>
        <w:tblStyle w:val="5"/>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6"/>
        <w:gridCol w:w="4136"/>
        <w:gridCol w:w="1399"/>
        <w:gridCol w:w="26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jc w:val="center"/>
              <w:rPr>
                <w:rFonts w:asciiTheme="minorEastAsia" w:hAnsiTheme="minorEastAsia" w:cstheme="minorEastAsia"/>
                <w:sz w:val="24"/>
              </w:rPr>
            </w:pPr>
            <w:r>
              <w:rPr>
                <w:rFonts w:hint="eastAsia" w:asciiTheme="minorEastAsia" w:hAnsiTheme="minorEastAsia" w:cstheme="minorEastAsia"/>
                <w:sz w:val="24"/>
              </w:rPr>
              <w:t>序号</w:t>
            </w:r>
          </w:p>
        </w:tc>
        <w:tc>
          <w:tcPr>
            <w:tcW w:w="413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档案名称</w:t>
            </w:r>
          </w:p>
        </w:tc>
        <w:tc>
          <w:tcPr>
            <w:tcW w:w="139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jc w:val="center"/>
              <w:rPr>
                <w:rFonts w:asciiTheme="minorEastAsia" w:hAnsiTheme="minorEastAsia" w:cstheme="minorEastAsia"/>
                <w:sz w:val="24"/>
              </w:rPr>
            </w:pPr>
            <w:r>
              <w:rPr>
                <w:rFonts w:hint="eastAsia" w:asciiTheme="minorEastAsia" w:hAnsiTheme="minorEastAsia" w:cstheme="minorEastAsia"/>
                <w:sz w:val="24"/>
              </w:rPr>
              <w:t>保管年限</w:t>
            </w:r>
          </w:p>
        </w:tc>
        <w:tc>
          <w:tcPr>
            <w:tcW w:w="2695"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p>
        </w:tc>
        <w:tc>
          <w:tcPr>
            <w:tcW w:w="413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一、会计凭证类</w:t>
            </w:r>
          </w:p>
        </w:tc>
        <w:tc>
          <w:tcPr>
            <w:tcW w:w="139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p>
        </w:tc>
        <w:tc>
          <w:tcPr>
            <w:tcW w:w="2695"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w:t>
            </w:r>
          </w:p>
        </w:tc>
        <w:tc>
          <w:tcPr>
            <w:tcW w:w="413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原始凭证、记帐凭证、汇总凭证</w:t>
            </w:r>
          </w:p>
        </w:tc>
        <w:tc>
          <w:tcPr>
            <w:tcW w:w="139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15年</w:t>
            </w:r>
          </w:p>
        </w:tc>
        <w:tc>
          <w:tcPr>
            <w:tcW w:w="2695"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2</w:t>
            </w:r>
          </w:p>
        </w:tc>
        <w:tc>
          <w:tcPr>
            <w:tcW w:w="413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银行余额调节表</w:t>
            </w:r>
          </w:p>
        </w:tc>
        <w:tc>
          <w:tcPr>
            <w:tcW w:w="139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15年</w:t>
            </w:r>
          </w:p>
        </w:tc>
        <w:tc>
          <w:tcPr>
            <w:tcW w:w="2695"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p>
        </w:tc>
        <w:tc>
          <w:tcPr>
            <w:tcW w:w="413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二、会计帐簿类</w:t>
            </w:r>
          </w:p>
        </w:tc>
        <w:tc>
          <w:tcPr>
            <w:tcW w:w="139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p>
        </w:tc>
        <w:tc>
          <w:tcPr>
            <w:tcW w:w="2695"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3</w:t>
            </w:r>
          </w:p>
        </w:tc>
        <w:tc>
          <w:tcPr>
            <w:tcW w:w="413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日记帐</w:t>
            </w:r>
          </w:p>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（其中：现金和银行日记）</w:t>
            </w:r>
          </w:p>
        </w:tc>
        <w:tc>
          <w:tcPr>
            <w:tcW w:w="139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15年</w:t>
            </w:r>
          </w:p>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25年</w:t>
            </w:r>
          </w:p>
        </w:tc>
        <w:tc>
          <w:tcPr>
            <w:tcW w:w="2695"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4</w:t>
            </w: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明细帐</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15年</w:t>
            </w: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5</w:t>
            </w: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总帐</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15年</w:t>
            </w: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包括日记总帐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6</w:t>
            </w: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辅助帐簿</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15年</w:t>
            </w: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7</w:t>
            </w: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固定资产卡片</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5年</w:t>
            </w: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固定资产报废</w:t>
            </w:r>
          </w:p>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清理后保存5年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三、会计报表类</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8</w:t>
            </w: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主要财务指标快报</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3年</w:t>
            </w: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包括文字分析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9</w:t>
            </w: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月、季度会计报表</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5年</w:t>
            </w: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包括文字分析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10</w:t>
            </w: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年度会计报表</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永久</w:t>
            </w: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包括文字分析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四、其他类</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11</w:t>
            </w: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会计移交清册</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15年</w:t>
            </w: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jc w:val="center"/>
              <w:rPr>
                <w:rFonts w:asciiTheme="minorEastAsia" w:hAnsiTheme="minorEastAsia" w:cstheme="minorEastAsia"/>
                <w:sz w:val="24"/>
              </w:rPr>
            </w:pPr>
            <w:r>
              <w:rPr>
                <w:rFonts w:hint="eastAsia" w:asciiTheme="minorEastAsia" w:hAnsiTheme="minorEastAsia" w:cstheme="minorEastAsia"/>
                <w:sz w:val="24"/>
              </w:rPr>
              <w:t>12</w:t>
            </w: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会计档案保管清册</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25年</w:t>
            </w: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13</w:t>
            </w: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会计档案销毁清册</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25年</w:t>
            </w: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r>
    </w:tbl>
    <w:p>
      <w:pPr>
        <w:tabs>
          <w:tab w:val="left" w:pos="0"/>
          <w:tab w:val="left" w:pos="9720"/>
        </w:tabs>
        <w:spacing w:line="600" w:lineRule="exact"/>
        <w:ind w:right="210" w:rightChars="100"/>
        <w:rPr>
          <w:rFonts w:asciiTheme="minorEastAsia" w:hAnsiTheme="minorEastAsia" w:cstheme="minorEastAsia"/>
          <w:b/>
          <w:sz w:val="24"/>
        </w:rPr>
      </w:pPr>
    </w:p>
    <w:p>
      <w:pPr>
        <w:tabs>
          <w:tab w:val="left" w:pos="0"/>
          <w:tab w:val="left" w:pos="9720"/>
        </w:tabs>
        <w:spacing w:line="600" w:lineRule="exact"/>
        <w:ind w:left="210" w:leftChars="100" w:right="210" w:rightChars="100" w:firstLine="482" w:firstLineChars="200"/>
        <w:jc w:val="center"/>
        <w:rPr>
          <w:rFonts w:asciiTheme="minorEastAsia" w:hAnsiTheme="minorEastAsia" w:cstheme="minorEastAsia"/>
          <w:b/>
          <w:sz w:val="24"/>
        </w:rPr>
      </w:pPr>
      <w:r>
        <w:rPr>
          <w:rFonts w:hint="eastAsia" w:asciiTheme="minorEastAsia" w:hAnsiTheme="minorEastAsia" w:cstheme="minorEastAsia"/>
          <w:b/>
          <w:sz w:val="24"/>
        </w:rPr>
        <w:t>第十九节：关于资金支付审批制度</w:t>
      </w:r>
    </w:p>
    <w:p>
      <w:pPr>
        <w:tabs>
          <w:tab w:val="left" w:pos="9720"/>
        </w:tabs>
        <w:spacing w:line="600" w:lineRule="exact"/>
        <w:ind w:left="210" w:leftChars="100" w:right="210" w:rightChars="100" w:firstLine="480" w:firstLineChars="200"/>
        <w:rPr>
          <w:rFonts w:asciiTheme="minorEastAsia" w:hAnsiTheme="minorEastAsia" w:cstheme="minorEastAsia"/>
          <w:sz w:val="24"/>
        </w:rPr>
      </w:pP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第一条 为规范资金支付和调拨审批程序，明确审批权限，降低资金风险，提高资金使用效率,确保各项经营活动高效、有序地进行，特制定本制度。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第二条 本制度所称的资金是指企业在资金运作过程中停留在货币阶段的那一部分资金，是以货币及等价物形态存在的资产，包括现金、银行存款和承兑汇票及其他货币资金。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第三条 本制度主要规范集团公司本部的资金支付和调拨。其他子公司也应参照执行。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第四条 本制度所称资金授权审批，包括资金预算内的授权审批和预算外资金授权审批。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第五条 本企业的资金授权审批实行分级授权审批。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第六条 为加强企业对货币资金的管理，本企业实行资金预算制度，资金预算的编制和审批严格遵循以下规定执行。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1．货币资金预算的范围：包括本部职能部门，各分公司往来款项、费用、职工薪酬、购置资产、归还货款、兑付承兑以及工程项目投资等支出，各控股子公司借款以及筹融资额度。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2．年度资金预算：企业根据实际情况，制定年度资金预算，年度预算由总经理审批。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3．月度资金预算：企业根据年度资金预算和月度工作计划，编制月度资金预算，月度资金预算原则上应量入为出、收支平衡，月度资金预算作为企业月度资金管理的指令性文件，必须严格执行，月度资金预算由经理办公会审批。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第七条 财务部负责企业年度资金预算和月度资金预算的编制工作。各职能部门、分公司应于每年的11月20日前把各自的下年度资金预算报到财务部，财务部应于每年的11月28日前完成下年度的资金预算；各职能部门、分公司应于每月的25日前把各自的次月资金预算报到财务部，财务部应于每月的28日完成下月的资金预算编制工作。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第八条 企业资金预算编制完成后，应及时召开相关会议，讨论批准资金预算。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第九条 企业各职能部门、分公司应按照规定的程序办理货币资金支付业务。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1．支付申请。各职能部门、分公司需要使用资金时，应按回款进度在可用资金额度范围内向财务部提交货币资金支付申请，并注明款项的用途、金额、支付方式等内容，并应附有效经济合同或相关证明。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2．支付审批。财务部审批人员应当根据货币资金授权批准权限的规定，在月度资金预算范围内按回款进度进行审批，不得超越审批权限。对不符合规定的货币资金支付申请，应当拒绝批准。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3．支付复核。财务部复核人应当对批准后的货币资金支付申请进行复核，复核货币资金支付申请的批准程序是否正确、手续及相关单证是否齐备、金额计算是否准确、支付方式是否妥当等。复核无误后，交由出纳人员办理支付手续。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4．办理支付。出纳人员应当根据复核无误的支付申请，按规定办理货币资金支付手续，及时登记现金和银行存款日记账册。 </w:t>
      </w:r>
      <w:r>
        <w:rPr>
          <w:rFonts w:hint="eastAsia" w:asciiTheme="minorEastAsia" w:hAnsiTheme="minorEastAsia" w:cstheme="minorEastAsia"/>
          <w:sz w:val="24"/>
        </w:rPr>
        <w:br w:type="textWrapping"/>
      </w:r>
      <w:r>
        <w:rPr>
          <w:rFonts w:hint="eastAsia" w:asciiTheme="minorEastAsia" w:hAnsiTheme="minorEastAsia" w:cstheme="minorEastAsia"/>
          <w:sz w:val="24"/>
        </w:rPr>
        <w:t xml:space="preserve">第十条 企业资金支出申请的审批权限类别。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1．审核：指有关管理部门及职能部门主要负责人对该项开支的合理性提出初步意见。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2．审批：指有关领导根据审核意见进行批准。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3．核准：指财务部负责人或指定人员根据财务管理制度对已审批支付款项从单据和数量上核准并备案。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第十一条 企业预算内资金审批权限规定。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月度预算内资金拨付，由总会计师审批，或由财务总监授权财务部门负责人审批。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第十二条 资金预算内报销支付的审批权限。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1.一般性费用报销支出，先由所在部门负责人审核，财务部复核后，由财务总监审批，或由财务总监授权财务部负责人审批，金额超过50万元的经财务总监审核后报总经理审批；业务招待、礼品类费用由总会计师审核后报总经理审批；对外捐赠、赞助、罚款等营业外支出须提交总经理批准。 按公司差旅费等相关制度规定，公司高级管理人员超过标准报销的由财务总监审核后报总经理审批，其他人员超过标准报销的经分管副总审核后报财务总监审批。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2.货款、往来款支付和应付款项由财务总监审批，预付款项须经分管副总审核后报财务总监审批。 薪酬与社保资金支付，由人力资源部审核，分管副总审批，并报财务总监和总经理会签。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3.利息与应缴税费支付，由财务部负责人审批。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4．资本性支出，在公司批复文件范围内由财务总监审批,无批复文件，或单项金额超过</w:t>
      </w:r>
      <w:r>
        <w:rPr>
          <w:rFonts w:hint="eastAsia" w:asciiTheme="minorEastAsia" w:hAnsiTheme="minorEastAsia" w:cstheme="minorEastAsia"/>
          <w:sz w:val="24"/>
          <w:lang w:val="en-US" w:eastAsia="zh-CN"/>
        </w:rPr>
        <w:t>1</w:t>
      </w:r>
      <w:r>
        <w:rPr>
          <w:rFonts w:hint="eastAsia" w:asciiTheme="minorEastAsia" w:hAnsiTheme="minorEastAsia" w:cstheme="minorEastAsia"/>
          <w:sz w:val="24"/>
        </w:rPr>
        <w:t xml:space="preserve">0万元的，须报总经理审批。 </w:t>
      </w:r>
    </w:p>
    <w:p>
      <w:pPr>
        <w:tabs>
          <w:tab w:val="left" w:pos="9720"/>
        </w:tabs>
        <w:spacing w:line="600" w:lineRule="exact"/>
        <w:ind w:left="210" w:leftChars="100" w:right="210" w:rightChars="100" w:firstLine="480" w:firstLineChars="200"/>
        <w:rPr>
          <w:rFonts w:hint="eastAsia" w:asciiTheme="minorEastAsia" w:hAnsiTheme="minorEastAsia" w:cstheme="minorEastAsia"/>
          <w:sz w:val="24"/>
        </w:rPr>
      </w:pPr>
      <w:r>
        <w:rPr>
          <w:rFonts w:hint="eastAsia" w:asciiTheme="minorEastAsia" w:hAnsiTheme="minorEastAsia" w:cstheme="minorEastAsia"/>
          <w:sz w:val="24"/>
        </w:rPr>
        <w:t>5．关联企业之间资金借贷，</w:t>
      </w:r>
      <w:r>
        <w:rPr>
          <w:rFonts w:hint="eastAsia" w:asciiTheme="minorEastAsia" w:hAnsiTheme="minorEastAsia" w:cstheme="minorEastAsia"/>
          <w:sz w:val="24"/>
          <w:lang w:eastAsia="zh-CN"/>
        </w:rPr>
        <w:t>不论金额多少，</w:t>
      </w:r>
      <w:r>
        <w:rPr>
          <w:rFonts w:hint="eastAsia" w:asciiTheme="minorEastAsia" w:hAnsiTheme="minorEastAsia" w:cstheme="minorEastAsia"/>
          <w:sz w:val="24"/>
        </w:rPr>
        <w:t>经财务总监审核后报总经理审批</w:t>
      </w:r>
      <w:r>
        <w:rPr>
          <w:rFonts w:hint="eastAsia" w:asciiTheme="minorEastAsia" w:hAnsiTheme="minorEastAsia" w:cstheme="minorEastAsia"/>
          <w:sz w:val="24"/>
          <w:lang w:eastAsia="zh-CN"/>
        </w:rPr>
        <w:t>。</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第十三条 企业预算外资金审批权限规定。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企业原则上预算外资金不予支付。对于遇到资产安全，人身安全,抢险救灾，突发性生产经营事件等紧急重大事项需要支付的，开会集体讨论，修改预算时间来不及,可以特事特办，财务总监、总经理在</w:t>
      </w:r>
      <w:r>
        <w:rPr>
          <w:rFonts w:hint="eastAsia" w:asciiTheme="minorEastAsia" w:hAnsiTheme="minorEastAsia" w:cstheme="minorEastAsia"/>
          <w:sz w:val="24"/>
          <w:lang w:val="en-US" w:eastAsia="zh-CN"/>
        </w:rPr>
        <w:t>10</w:t>
      </w:r>
      <w:r>
        <w:rPr>
          <w:rFonts w:hint="eastAsia" w:asciiTheme="minorEastAsia" w:hAnsiTheme="minorEastAsia" w:cstheme="minorEastAsia"/>
          <w:sz w:val="24"/>
        </w:rPr>
        <w:t xml:space="preserve">万元以内有权审批支付，但事后必应按资金预算审批程序修改资金预算。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第十四条 公司为了筹融资等事项，需要在公司内部各开户行之间调拨资金，由财务总监批或授权财务部负责人审批。</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第十五条 非关联企业之间资金借支，须经总经理审议，批准后财务部方可办理。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第十六条 财务部应严格按照上述资金支出审批权限与程序监督各项资金支出的执行情况。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第十七条 财务部每月向经理办公会通报月度资金预算执行情况，加强资金使用分析，同时应定期向总经理、财务总监汇报资金收付情况。 </w:t>
      </w:r>
    </w:p>
    <w:p>
      <w:pPr>
        <w:tabs>
          <w:tab w:val="left" w:pos="9720"/>
        </w:tabs>
        <w:spacing w:line="600" w:lineRule="exact"/>
        <w:ind w:right="210" w:rightChars="100"/>
        <w:jc w:val="center"/>
        <w:rPr>
          <w:rFonts w:asciiTheme="minorEastAsia" w:hAnsiTheme="minorEastAsia" w:cstheme="minorEastAsia"/>
          <w:color w:val="333333"/>
          <w:kern w:val="0"/>
          <w:sz w:val="24"/>
        </w:rPr>
      </w:pPr>
      <w:r>
        <w:rPr>
          <w:rFonts w:hint="eastAsia" w:asciiTheme="minorEastAsia" w:hAnsiTheme="minorEastAsia" w:cstheme="minorEastAsia"/>
          <w:b/>
          <w:kern w:val="0"/>
          <w:sz w:val="24"/>
        </w:rPr>
        <w:t>第二十节 关于企业税务风险的防范措施</w:t>
      </w:r>
      <w:r>
        <w:rPr>
          <w:rFonts w:hint="eastAsia" w:asciiTheme="minorEastAsia" w:hAnsiTheme="minorEastAsia" w:cstheme="minorEastAsia"/>
          <w:color w:val="333333"/>
          <w:kern w:val="0"/>
          <w:sz w:val="24"/>
        </w:rPr>
        <w:t xml:space="preserve"> </w:t>
      </w:r>
    </w:p>
    <w:p>
      <w:pPr>
        <w:widowControl/>
        <w:spacing w:line="600" w:lineRule="exact"/>
        <w:ind w:left="420" w:right="420" w:rightChars="200" w:firstLine="482" w:firstLineChars="200"/>
        <w:rPr>
          <w:rFonts w:asciiTheme="minorEastAsia" w:hAnsiTheme="minorEastAsia" w:cstheme="minorEastAsia"/>
          <w:b/>
          <w:color w:val="333333"/>
          <w:kern w:val="0"/>
          <w:sz w:val="24"/>
        </w:rPr>
      </w:pPr>
      <w:r>
        <w:rPr>
          <w:rFonts w:hint="eastAsia" w:asciiTheme="minorEastAsia" w:hAnsiTheme="minorEastAsia" w:cstheme="minorEastAsia"/>
          <w:b/>
          <w:color w:val="333333"/>
          <w:kern w:val="0"/>
          <w:sz w:val="24"/>
        </w:rPr>
        <w:t>1、完善企业内控制度。</w:t>
      </w:r>
    </w:p>
    <w:p>
      <w:pPr>
        <w:widowControl/>
        <w:spacing w:line="600" w:lineRule="exact"/>
        <w:ind w:left="420" w:right="420" w:rightChars="200" w:firstLine="480" w:firstLineChars="200"/>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 xml:space="preserve">为避免税务风险，企业财务工作者须把握财务会计与税法规定之间的差异，尽量做到正确纳税，这一客观要求具体表现为企业内部控制制度的完善，即企业应致力于管理水平的提高和风险意识的增强，在严格把握传统财务内控手段的前提下，对现代化知识技术充分利用，建立一套操作性强、便于控制的内部财务报告组织信息系统。 </w:t>
      </w:r>
    </w:p>
    <w:p>
      <w:pPr>
        <w:widowControl/>
        <w:spacing w:line="600" w:lineRule="exact"/>
        <w:ind w:right="420" w:rightChars="200" w:firstLine="482" w:firstLineChars="200"/>
        <w:rPr>
          <w:rFonts w:asciiTheme="minorEastAsia" w:hAnsiTheme="minorEastAsia" w:cstheme="minorEastAsia"/>
          <w:b/>
          <w:color w:val="333333"/>
          <w:kern w:val="0"/>
          <w:sz w:val="24"/>
        </w:rPr>
      </w:pPr>
      <w:r>
        <w:rPr>
          <w:rFonts w:hint="eastAsia" w:asciiTheme="minorEastAsia" w:hAnsiTheme="minorEastAsia" w:cstheme="minorEastAsia"/>
          <w:b/>
          <w:color w:val="333333"/>
          <w:kern w:val="0"/>
          <w:sz w:val="24"/>
        </w:rPr>
        <w:t>2、加强信息管理建设。</w:t>
      </w:r>
    </w:p>
    <w:p>
      <w:pPr>
        <w:widowControl/>
        <w:spacing w:line="600" w:lineRule="exact"/>
        <w:ind w:right="420" w:rightChars="200" w:firstLine="480" w:firstLineChars="200"/>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 xml:space="preserve">企业应建立税务风险管理的信息与沟通制度，明确税务相关信息的收集、处理和传递程序，建立和完善税法的收集和更新系统，及时汇编企业适用的税法并定期更新。企业可以利用计算机系统和网络技术建立内、外部的信息管理系统，确保企业内、外部信息通畅，将信息技术应用于税务风险管理的各项工作，建立涵盖风险管理基本流程和内部控制系统各环节的风险管理信息系统。 </w:t>
      </w:r>
    </w:p>
    <w:p>
      <w:pPr>
        <w:widowControl/>
        <w:spacing w:line="600" w:lineRule="exact"/>
        <w:ind w:right="420" w:rightChars="200" w:firstLine="482" w:firstLineChars="200"/>
        <w:rPr>
          <w:rFonts w:asciiTheme="minorEastAsia" w:hAnsiTheme="minorEastAsia" w:cstheme="minorEastAsia"/>
          <w:b/>
          <w:color w:val="333333"/>
          <w:kern w:val="0"/>
          <w:sz w:val="24"/>
        </w:rPr>
      </w:pPr>
      <w:r>
        <w:rPr>
          <w:rFonts w:hint="eastAsia" w:asciiTheme="minorEastAsia" w:hAnsiTheme="minorEastAsia" w:cstheme="minorEastAsia"/>
          <w:b/>
          <w:color w:val="333333"/>
          <w:kern w:val="0"/>
          <w:sz w:val="24"/>
        </w:rPr>
        <w:t>3、优化外部环境。</w:t>
      </w:r>
    </w:p>
    <w:p>
      <w:pPr>
        <w:widowControl/>
        <w:spacing w:line="600" w:lineRule="exact"/>
        <w:ind w:right="420" w:rightChars="200" w:firstLine="480" w:firstLineChars="200"/>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 xml:space="preserve">一是强化纳税服务，营造和谐征纳氛围，坚持以人为本，牢固树立纳税服务意识，保障纳税人的合法权益，进一步完 善纳税人与税务机关发生争议的税务行政复议制度。二是认真开展税法宣传，提高纳税人的税法遵从度，税收宣传的目的是让人们知法、懂法、守法，而只有在知法、懂法的前提下才能谈到守法。三是做好行政协调工作，逐步建立起以“政府领导、税务主管、部门配合、司法保障、社会参与”为主要内容的社会综合治税体系。 </w:t>
      </w:r>
    </w:p>
    <w:p>
      <w:pPr>
        <w:widowControl/>
        <w:spacing w:line="600" w:lineRule="exact"/>
        <w:ind w:right="420" w:rightChars="200" w:firstLine="482" w:firstLineChars="200"/>
        <w:rPr>
          <w:rFonts w:asciiTheme="minorEastAsia" w:hAnsiTheme="minorEastAsia" w:cstheme="minorEastAsia"/>
          <w:b/>
          <w:color w:val="333333"/>
          <w:kern w:val="0"/>
          <w:sz w:val="24"/>
        </w:rPr>
      </w:pPr>
      <w:r>
        <w:rPr>
          <w:rFonts w:hint="eastAsia" w:asciiTheme="minorEastAsia" w:hAnsiTheme="minorEastAsia" w:cstheme="minorEastAsia"/>
          <w:b/>
          <w:color w:val="333333"/>
          <w:kern w:val="0"/>
          <w:sz w:val="24"/>
        </w:rPr>
        <w:t>4、营造良好的税企关系。</w:t>
      </w:r>
    </w:p>
    <w:p>
      <w:pPr>
        <w:widowControl/>
        <w:spacing w:line="600" w:lineRule="exact"/>
        <w:ind w:right="420" w:rightChars="200" w:firstLine="480" w:firstLineChars="200"/>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 xml:space="preserve">国家税收具有财政收入职能和经济调控职能，我国制定不同类型的且具有相当大弹性空间的税收政策、而且由于全国各地具体的税收征管方式不同，税务执法机关拥有较大的自由裁量权，企业进行税务筹划的合法性还需要税务行政执法部门的确认。这种情况下，企业需要注重对税务机关工作程序的了解，随时关注当地税务机关税收征管的特点和具体方法，经常与税务机关保持友好联系，加强联系和沟通，争取在税法的理解上与税务机关取得一致，特别在某些模糊和新生事物上的处理得到税务机关的认可，从而避免税务风险。在进行税务筹划时，一定要针对具体的问题具体分析，针对企业的风险情况制定切合实际的风险防范措施，为税务筹划的成功实施做到未雨绸缪。 </w:t>
      </w:r>
    </w:p>
    <w:p>
      <w:pPr>
        <w:widowControl/>
        <w:spacing w:line="600" w:lineRule="exact"/>
        <w:ind w:right="420" w:rightChars="200" w:firstLine="482" w:firstLineChars="200"/>
        <w:rPr>
          <w:rFonts w:asciiTheme="minorEastAsia" w:hAnsiTheme="minorEastAsia" w:cstheme="minorEastAsia"/>
          <w:b/>
          <w:color w:val="333333"/>
          <w:kern w:val="0"/>
          <w:sz w:val="24"/>
        </w:rPr>
      </w:pPr>
      <w:r>
        <w:rPr>
          <w:rFonts w:hint="eastAsia" w:asciiTheme="minorEastAsia" w:hAnsiTheme="minorEastAsia" w:cstheme="minorEastAsia"/>
          <w:b/>
          <w:color w:val="333333"/>
          <w:kern w:val="0"/>
          <w:sz w:val="24"/>
        </w:rPr>
        <w:t>5、管理人员应提高税务风险意识。</w:t>
      </w:r>
    </w:p>
    <w:p>
      <w:pPr>
        <w:widowControl/>
        <w:spacing w:line="600" w:lineRule="exact"/>
        <w:ind w:right="420" w:rightChars="200" w:firstLine="480" w:firstLineChars="200"/>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 xml:space="preserve">作为企业管理层，应该高度重视纳税风险的管理，不但要体现在制度上，更要体现在领导者管理意识中。由于税务筹划具有特殊目的，其风险是客观存在的，面对风险企业领导者应时刻保持警惕，针对风险产生的原因，采取积极有效的措施，预防和减少风险的发生。 </w:t>
      </w:r>
    </w:p>
    <w:p>
      <w:pPr>
        <w:widowControl/>
        <w:spacing w:line="600" w:lineRule="exact"/>
        <w:ind w:right="420" w:rightChars="200" w:firstLine="482" w:firstLineChars="200"/>
        <w:rPr>
          <w:rFonts w:asciiTheme="minorEastAsia" w:hAnsiTheme="minorEastAsia" w:cstheme="minorEastAsia"/>
          <w:b/>
          <w:color w:val="333333"/>
          <w:kern w:val="0"/>
          <w:sz w:val="24"/>
        </w:rPr>
      </w:pPr>
      <w:r>
        <w:rPr>
          <w:rFonts w:hint="eastAsia" w:asciiTheme="minorEastAsia" w:hAnsiTheme="minorEastAsia" w:cstheme="minorEastAsia"/>
          <w:b/>
          <w:color w:val="333333"/>
          <w:kern w:val="0"/>
          <w:sz w:val="24"/>
        </w:rPr>
        <w:t>6、加强对政策的学习，准确把握税收政策。</w:t>
      </w:r>
    </w:p>
    <w:p>
      <w:pPr>
        <w:widowControl/>
        <w:spacing w:line="600" w:lineRule="exact"/>
        <w:ind w:right="420" w:rightChars="200" w:firstLine="480" w:firstLineChars="200"/>
        <w:rPr>
          <w:rFonts w:asciiTheme="minorEastAsia" w:hAnsiTheme="minorEastAsia" w:cstheme="minorEastAsia"/>
          <w:sz w:val="24"/>
        </w:rPr>
      </w:pPr>
      <w:r>
        <w:rPr>
          <w:rFonts w:hint="eastAsia" w:asciiTheme="minorEastAsia" w:hAnsiTheme="minorEastAsia" w:cstheme="minorEastAsia"/>
          <w:color w:val="333333"/>
          <w:kern w:val="0"/>
          <w:sz w:val="24"/>
        </w:rPr>
        <w:t>成功的税务筹划应充分考虑企业所处外部环境条件的变迁、未来经济环境的发展趋势、国家政策的变动、税法与税率的可能变动趋势、国家规定非税收因素对企业经营活动的影响，综合衡量税务筹划方案，处理好局部利益与整体利益、短期利益与长远利益的关系，为企业增加效益。我国税收政策变化较快，许多税收优惠政策具有一定的时效性和区域性，这就要求企业在准确把握现行税收政策精神的同时关注税收优惠政策对企业经营效益的影响。通过税收政策的学习，密切关注税收法律政策变动，审时度势，正确利用国家税收政策，降低不必要的纳税成本。</w:t>
      </w:r>
    </w:p>
    <w:p>
      <w:pPr>
        <w:pStyle w:val="3"/>
        <w:spacing w:line="600" w:lineRule="exact"/>
        <w:ind w:right="420" w:rightChars="200"/>
        <w:jc w:val="center"/>
        <w:rPr>
          <w:rFonts w:asciiTheme="minorEastAsia" w:hAnsiTheme="minorEastAsia" w:cstheme="minorEastAsia"/>
          <w:b/>
        </w:rPr>
      </w:pPr>
      <w:r>
        <w:rPr>
          <w:rFonts w:hint="eastAsia" w:asciiTheme="minorEastAsia" w:hAnsiTheme="minorEastAsia" w:cstheme="minorEastAsia"/>
          <w:b/>
        </w:rPr>
        <w:t>第二十一节  关于资金管理办法</w:t>
      </w:r>
    </w:p>
    <w:p>
      <w:pPr>
        <w:pStyle w:val="3"/>
        <w:spacing w:line="600" w:lineRule="exact"/>
        <w:ind w:left="420" w:leftChars="200" w:right="420" w:rightChars="200" w:firstLine="480" w:firstLineChars="200"/>
        <w:rPr>
          <w:rFonts w:asciiTheme="minorEastAsia" w:hAnsiTheme="minorEastAsia" w:cstheme="minorEastAsia"/>
          <w:color w:val="333333"/>
        </w:rPr>
      </w:pPr>
    </w:p>
    <w:p>
      <w:pPr>
        <w:pStyle w:val="3"/>
        <w:spacing w:line="600" w:lineRule="exact"/>
        <w:ind w:right="420" w:rightChars="200" w:firstLine="482" w:firstLineChars="200"/>
        <w:rPr>
          <w:rFonts w:asciiTheme="minorEastAsia" w:hAnsiTheme="minorEastAsia" w:cstheme="minorEastAsia"/>
          <w:b/>
          <w:color w:val="333333"/>
        </w:rPr>
      </w:pPr>
      <w:r>
        <w:rPr>
          <w:rFonts w:hint="eastAsia" w:asciiTheme="minorEastAsia" w:hAnsiTheme="minorEastAsia" w:cstheme="minorEastAsia"/>
          <w:b/>
          <w:color w:val="333333"/>
        </w:rPr>
        <w:t>第一条 制定宗旨</w:t>
      </w:r>
    </w:p>
    <w:p>
      <w:pPr>
        <w:pStyle w:val="3"/>
        <w:spacing w:line="600" w:lineRule="exact"/>
        <w:ind w:left="420" w:leftChars="200" w:right="420" w:rightChars="200" w:firstLine="480" w:firstLineChars="200"/>
        <w:rPr>
          <w:rFonts w:asciiTheme="minorEastAsia" w:hAnsiTheme="minorEastAsia" w:cstheme="minorEastAsia"/>
          <w:color w:val="333333"/>
        </w:rPr>
      </w:pPr>
      <w:r>
        <w:rPr>
          <w:rFonts w:hint="eastAsia" w:asciiTheme="minorEastAsia" w:hAnsiTheme="minorEastAsia" w:cstheme="minorEastAsia"/>
          <w:color w:val="333333"/>
        </w:rPr>
        <w:t>为加强对公司系统内资金使用的监督和管理，加速资金周转，提高资金利润率，保证资金安全，特制定本办法</w:t>
      </w:r>
    </w:p>
    <w:p>
      <w:pPr>
        <w:pStyle w:val="3"/>
        <w:spacing w:line="600" w:lineRule="exact"/>
        <w:ind w:right="420" w:rightChars="200" w:firstLine="482" w:firstLineChars="200"/>
        <w:rPr>
          <w:rFonts w:asciiTheme="minorEastAsia" w:hAnsiTheme="minorEastAsia" w:cstheme="minorEastAsia"/>
          <w:b/>
          <w:color w:val="333333"/>
        </w:rPr>
      </w:pPr>
      <w:r>
        <w:rPr>
          <w:rFonts w:hint="eastAsia" w:asciiTheme="minorEastAsia" w:hAnsiTheme="minorEastAsia" w:cstheme="minorEastAsia"/>
          <w:b/>
          <w:color w:val="333333"/>
        </w:rPr>
        <w:t>第二条 管理机构</w:t>
      </w:r>
    </w:p>
    <w:p>
      <w:pPr>
        <w:pStyle w:val="3"/>
        <w:spacing w:line="600" w:lineRule="exact"/>
        <w:ind w:right="420" w:rightChars="200" w:firstLine="480" w:firstLineChars="200"/>
        <w:rPr>
          <w:rFonts w:asciiTheme="minorEastAsia" w:hAnsiTheme="minorEastAsia" w:cstheme="minorEastAsia"/>
          <w:color w:val="333333"/>
        </w:rPr>
      </w:pPr>
      <w:r>
        <w:rPr>
          <w:rFonts w:hint="eastAsia" w:asciiTheme="minorEastAsia" w:hAnsiTheme="minorEastAsia" w:cstheme="minorEastAsia"/>
          <w:color w:val="333333"/>
        </w:rPr>
        <w:t>1．公司设立资金管理部，在财务总监领导下，办理各二级公司以及公司内部独立单位的结算、贷款、外汇调剂和资金管理工作。</w:t>
      </w:r>
    </w:p>
    <w:p>
      <w:pPr>
        <w:pStyle w:val="3"/>
        <w:spacing w:line="600" w:lineRule="exact"/>
        <w:ind w:right="420" w:rightChars="200" w:firstLine="480" w:firstLineChars="200"/>
        <w:rPr>
          <w:rFonts w:asciiTheme="minorEastAsia" w:hAnsiTheme="minorEastAsia" w:cstheme="minorEastAsia"/>
          <w:color w:val="333333"/>
        </w:rPr>
      </w:pPr>
      <w:r>
        <w:rPr>
          <w:rFonts w:hint="eastAsia" w:asciiTheme="minorEastAsia" w:hAnsiTheme="minorEastAsia" w:cstheme="minorEastAsia"/>
          <w:color w:val="333333"/>
        </w:rPr>
        <w:t>2．结算中心具有管理和服务的双重职能。与下属公司在资金管理工作中是监督与被监督，管理与接受管理的关系，在结算业务中是服务与被服务的客户关系。</w:t>
      </w:r>
    </w:p>
    <w:p>
      <w:pPr>
        <w:pStyle w:val="3"/>
        <w:spacing w:line="600" w:lineRule="exact"/>
        <w:ind w:right="420" w:rightChars="200" w:firstLine="482" w:firstLineChars="200"/>
        <w:rPr>
          <w:rFonts w:asciiTheme="minorEastAsia" w:hAnsiTheme="minorEastAsia" w:cstheme="minorEastAsia"/>
          <w:b/>
          <w:color w:val="333333"/>
        </w:rPr>
      </w:pPr>
      <w:r>
        <w:rPr>
          <w:rFonts w:hint="eastAsia" w:asciiTheme="minorEastAsia" w:hAnsiTheme="minorEastAsia" w:cstheme="minorEastAsia"/>
          <w:b/>
          <w:color w:val="333333"/>
        </w:rPr>
        <w:t>第三条 存款管理</w:t>
      </w:r>
    </w:p>
    <w:p>
      <w:pPr>
        <w:pStyle w:val="3"/>
        <w:spacing w:line="600" w:lineRule="exact"/>
        <w:ind w:right="420" w:rightChars="200" w:firstLine="480" w:firstLineChars="200"/>
        <w:rPr>
          <w:rFonts w:asciiTheme="minorEastAsia" w:hAnsiTheme="minorEastAsia" w:cstheme="minorEastAsia"/>
          <w:color w:val="333333"/>
        </w:rPr>
      </w:pPr>
      <w:r>
        <w:rPr>
          <w:rFonts w:hint="eastAsia" w:asciiTheme="minorEastAsia" w:hAnsiTheme="minorEastAsia" w:cstheme="minorEastAsia"/>
          <w:color w:val="333333"/>
        </w:rPr>
        <w:t>公司及各分支机构在附近银行保留一个存款户，用于缴纳每月社保。主管会计每月需对分支机构的存款户进行监管，特殊情况需专题报告，经批准同意后，方可保留其他银行结算业务。</w:t>
      </w:r>
    </w:p>
    <w:p>
      <w:pPr>
        <w:pStyle w:val="3"/>
        <w:spacing w:line="600" w:lineRule="exact"/>
        <w:ind w:right="420" w:rightChars="200" w:firstLine="482" w:firstLineChars="200"/>
        <w:rPr>
          <w:rFonts w:asciiTheme="minorEastAsia" w:hAnsiTheme="minorEastAsia" w:cstheme="minorEastAsia"/>
          <w:b/>
          <w:color w:val="333333"/>
        </w:rPr>
      </w:pPr>
      <w:r>
        <w:rPr>
          <w:rFonts w:hint="eastAsia" w:asciiTheme="minorEastAsia" w:hAnsiTheme="minorEastAsia" w:cstheme="minorEastAsia"/>
          <w:b/>
          <w:color w:val="333333"/>
        </w:rPr>
        <w:t>第四条 借款和担保业务管理</w:t>
      </w:r>
    </w:p>
    <w:p>
      <w:pPr>
        <w:pStyle w:val="3"/>
        <w:spacing w:line="600" w:lineRule="exact"/>
        <w:ind w:right="420" w:rightChars="200" w:firstLine="480" w:firstLineChars="200"/>
        <w:rPr>
          <w:rFonts w:asciiTheme="minorEastAsia" w:hAnsiTheme="minorEastAsia" w:cstheme="minorEastAsia"/>
          <w:color w:val="333333"/>
        </w:rPr>
      </w:pPr>
      <w:r>
        <w:rPr>
          <w:rFonts w:hint="eastAsia" w:asciiTheme="minorEastAsia" w:hAnsiTheme="minorEastAsia" w:cstheme="minorEastAsia"/>
          <w:color w:val="333333"/>
        </w:rPr>
        <w:t>1．借款和担保限额。公司内应在每年年初根据总经理下达的利润任务编制资金计划，根据公司的年度任务，经营发展规划，资金来源以及各分支机构的资金效益状况进行综合平衡后，制定总公司及分支机构定额借款，全部借款的最高限额以及为分支机构信用担保的最高限额，报总经理审批后执行。年度中，资金管理部将严格按照限额计划控制各分支机构借款规模，如因经营发展，贷款或担保超限额的，应专题报告说明资金超限额的原因，以及新增资金的投向、投量和使用效益，经资金管理部审查核实后，提出意见，报总经理和办公会审批追加。</w:t>
      </w:r>
    </w:p>
    <w:p>
      <w:pPr>
        <w:pStyle w:val="3"/>
        <w:spacing w:line="600" w:lineRule="exact"/>
        <w:ind w:right="420" w:rightChars="200" w:firstLine="480" w:firstLineChars="200"/>
        <w:rPr>
          <w:rFonts w:asciiTheme="minorEastAsia" w:hAnsiTheme="minorEastAsia" w:cstheme="minorEastAsia"/>
          <w:color w:val="auto"/>
        </w:rPr>
      </w:pPr>
      <w:r>
        <w:rPr>
          <w:rFonts w:hint="eastAsia" w:asciiTheme="minorEastAsia" w:hAnsiTheme="minorEastAsia" w:cstheme="minorEastAsia"/>
          <w:color w:val="333333"/>
        </w:rPr>
        <w:t>2．公司内借款的审批。凡公司内借款金额在</w:t>
      </w:r>
      <w:r>
        <w:rPr>
          <w:rFonts w:hint="eastAsia" w:asciiTheme="minorEastAsia" w:hAnsiTheme="minorEastAsia" w:cstheme="minorEastAsia"/>
          <w:color w:val="333333"/>
          <w:lang w:val="en-US" w:eastAsia="zh-CN"/>
        </w:rPr>
        <w:t>10</w:t>
      </w:r>
      <w:r>
        <w:rPr>
          <w:rFonts w:hint="eastAsia" w:asciiTheme="minorEastAsia" w:hAnsiTheme="minorEastAsia" w:cstheme="minorEastAsia"/>
          <w:color w:val="333333"/>
        </w:rPr>
        <w:t>万元（含</w:t>
      </w:r>
      <w:r>
        <w:rPr>
          <w:rFonts w:hint="eastAsia" w:asciiTheme="minorEastAsia" w:hAnsiTheme="minorEastAsia" w:cstheme="minorEastAsia"/>
          <w:color w:val="333333"/>
          <w:lang w:val="en-US" w:eastAsia="zh-CN"/>
        </w:rPr>
        <w:t>1</w:t>
      </w:r>
      <w:r>
        <w:rPr>
          <w:rFonts w:hint="eastAsia" w:asciiTheme="minorEastAsia" w:hAnsiTheme="minorEastAsia" w:cstheme="minorEastAsia"/>
          <w:color w:val="333333"/>
        </w:rPr>
        <w:t>0万元，外币按记账汇率折算，下同）以内的，由总经理审查同意后，报财务总监审批；借款金额在</w:t>
      </w:r>
      <w:r>
        <w:rPr>
          <w:rFonts w:hint="eastAsia" w:asciiTheme="minorEastAsia" w:hAnsiTheme="minorEastAsia" w:cstheme="minorEastAsia"/>
          <w:color w:val="333333"/>
          <w:lang w:val="en-US" w:eastAsia="zh-CN"/>
        </w:rPr>
        <w:t>10</w:t>
      </w:r>
      <w:r>
        <w:rPr>
          <w:rFonts w:hint="eastAsia" w:asciiTheme="minorEastAsia" w:hAnsiTheme="minorEastAsia" w:cstheme="minorEastAsia"/>
          <w:color w:val="333333"/>
        </w:rPr>
        <w:t>万元以上的，由财务总监审核，总经理审批。</w:t>
      </w:r>
    </w:p>
    <w:p>
      <w:pPr>
        <w:pStyle w:val="3"/>
        <w:spacing w:line="600" w:lineRule="exact"/>
        <w:ind w:right="420" w:rightChars="200" w:firstLine="480" w:firstLineChars="200"/>
        <w:rPr>
          <w:rFonts w:asciiTheme="minorEastAsia" w:hAnsiTheme="minorEastAsia" w:cstheme="minorEastAsia"/>
          <w:color w:val="FF0000"/>
        </w:rPr>
      </w:pPr>
      <w:r>
        <w:rPr>
          <w:rFonts w:hint="eastAsia" w:asciiTheme="minorEastAsia" w:hAnsiTheme="minorEastAsia" w:cstheme="minorEastAsia"/>
          <w:color w:val="FF0000"/>
        </w:rPr>
        <w:t>3．担保的审批。各分支机构向银行借款需要总公司担保时，担保额在300万元以下的由财务总监审批，担保额在300--21000万万元的，由总经理审批。担保额在21000万元以上的，一律由财务总监加签后报总经理审批，并经总经理办公会议通过。借款担保审批后，由财务部办理具体手续。</w:t>
      </w:r>
    </w:p>
    <w:p>
      <w:pPr>
        <w:pStyle w:val="3"/>
        <w:spacing w:line="600" w:lineRule="exact"/>
        <w:ind w:right="420" w:rightChars="200" w:firstLine="482" w:firstLineChars="200"/>
        <w:rPr>
          <w:rFonts w:asciiTheme="minorEastAsia" w:hAnsiTheme="minorEastAsia" w:cstheme="minorEastAsia"/>
          <w:b/>
          <w:color w:val="auto"/>
        </w:rPr>
      </w:pPr>
      <w:r>
        <w:rPr>
          <w:rFonts w:hint="eastAsia" w:asciiTheme="minorEastAsia" w:hAnsiTheme="minorEastAsia" w:cstheme="minorEastAsia"/>
          <w:b/>
          <w:color w:val="auto"/>
        </w:rPr>
        <w:t>第五条 其他业务的审批</w:t>
      </w:r>
    </w:p>
    <w:p>
      <w:pPr>
        <w:pStyle w:val="3"/>
        <w:spacing w:line="600" w:lineRule="exact"/>
        <w:ind w:right="420" w:rightChars="200" w:firstLine="480" w:firstLineChars="200"/>
        <w:rPr>
          <w:rFonts w:asciiTheme="minorEastAsia" w:hAnsiTheme="minorEastAsia" w:cstheme="minorEastAsia"/>
          <w:color w:val="auto"/>
        </w:rPr>
      </w:pPr>
      <w:r>
        <w:rPr>
          <w:rFonts w:hint="eastAsia" w:asciiTheme="minorEastAsia" w:hAnsiTheme="minorEastAsia" w:cstheme="minorEastAsia"/>
          <w:color w:val="auto"/>
        </w:rPr>
        <w:t>1．领用空白支票。在资金部办理结算业务的企业，可以向资金部领用空白支票，每次领用张数不超5张，每张空白支票限额不超过5万元，由财务部办理，领用空白支票时，必须在资金部有充足的存款。</w:t>
      </w:r>
    </w:p>
    <w:p>
      <w:pPr>
        <w:pStyle w:val="3"/>
        <w:spacing w:line="600" w:lineRule="exact"/>
        <w:ind w:right="420" w:rightChars="200" w:firstLine="480" w:firstLineChars="200"/>
        <w:rPr>
          <w:rFonts w:asciiTheme="minorEastAsia" w:hAnsiTheme="minorEastAsia" w:cstheme="minorEastAsia"/>
          <w:color w:val="auto"/>
        </w:rPr>
      </w:pPr>
      <w:r>
        <w:rPr>
          <w:rFonts w:hint="eastAsia" w:asciiTheme="minorEastAsia" w:hAnsiTheme="minorEastAsia" w:cstheme="minorEastAsia"/>
          <w:color w:val="auto"/>
        </w:rPr>
        <w:t>2．外汇调剂。公司及分支机构的外汇调剂一律报财务审批，审批同意后，方可自行办理。</w:t>
      </w:r>
    </w:p>
    <w:p>
      <w:pPr>
        <w:pStyle w:val="3"/>
        <w:spacing w:line="600" w:lineRule="exact"/>
        <w:ind w:right="420" w:rightChars="200" w:firstLine="480" w:firstLineChars="200"/>
        <w:rPr>
          <w:rFonts w:asciiTheme="minorEastAsia" w:hAnsiTheme="minorEastAsia" w:cstheme="minorEastAsia"/>
          <w:color w:val="auto"/>
        </w:rPr>
      </w:pPr>
      <w:r>
        <w:rPr>
          <w:rFonts w:hint="eastAsia" w:asciiTheme="minorEastAsia" w:hAnsiTheme="minorEastAsia" w:cstheme="minorEastAsia"/>
          <w:color w:val="auto"/>
        </w:rPr>
        <w:t>3．利息的减免。凡需要减免集团内借款利息，金额在5．1万元以内的，由财务部审查同意，金额超过5．1万元，必须落实弥补渠道，并经分管副总经理加签后，报总经理审批。</w:t>
      </w:r>
    </w:p>
    <w:p>
      <w:pPr>
        <w:pStyle w:val="3"/>
        <w:spacing w:line="600" w:lineRule="exact"/>
        <w:ind w:right="420" w:rightChars="200" w:firstLine="482" w:firstLineChars="200"/>
        <w:rPr>
          <w:rFonts w:asciiTheme="minorEastAsia" w:hAnsiTheme="minorEastAsia" w:cstheme="minorEastAsia"/>
          <w:b/>
          <w:color w:val="auto"/>
        </w:rPr>
      </w:pPr>
      <w:r>
        <w:rPr>
          <w:rFonts w:hint="eastAsia" w:asciiTheme="minorEastAsia" w:hAnsiTheme="minorEastAsia" w:cstheme="minorEastAsia"/>
          <w:b/>
          <w:color w:val="auto"/>
        </w:rPr>
        <w:t>第六条 资金管理和检查</w:t>
      </w:r>
    </w:p>
    <w:p>
      <w:pPr>
        <w:pStyle w:val="3"/>
        <w:spacing w:line="600" w:lineRule="exact"/>
        <w:ind w:right="420" w:rightChars="200" w:firstLine="480" w:firstLineChars="200"/>
        <w:rPr>
          <w:rFonts w:asciiTheme="minorEastAsia" w:hAnsiTheme="minorEastAsia" w:cstheme="minorEastAsia"/>
          <w:color w:val="auto"/>
        </w:rPr>
      </w:pPr>
      <w:r>
        <w:rPr>
          <w:rFonts w:hint="eastAsia" w:asciiTheme="minorEastAsia" w:hAnsiTheme="minorEastAsia" w:cstheme="minorEastAsia"/>
          <w:color w:val="auto"/>
        </w:rPr>
        <w:t>查情况，定期向财务部、总经理作专题报告。</w:t>
      </w:r>
    </w:p>
    <w:p>
      <w:pPr>
        <w:pStyle w:val="3"/>
        <w:spacing w:line="600" w:lineRule="exact"/>
        <w:ind w:right="420" w:rightChars="200" w:firstLine="480" w:firstLineChars="200"/>
        <w:rPr>
          <w:rFonts w:asciiTheme="minorEastAsia" w:hAnsiTheme="minorEastAsia" w:cstheme="minorEastAsia"/>
          <w:color w:val="auto"/>
        </w:rPr>
      </w:pPr>
      <w:r>
        <w:rPr>
          <w:rFonts w:hint="eastAsia" w:asciiTheme="minorEastAsia" w:hAnsiTheme="minorEastAsia" w:cstheme="minorEastAsia"/>
          <w:color w:val="auto"/>
        </w:rPr>
        <w:t>1．定期检查各分支机构的现金库存状况；</w:t>
      </w:r>
    </w:p>
    <w:p>
      <w:pPr>
        <w:pStyle w:val="3"/>
        <w:spacing w:line="600" w:lineRule="exact"/>
        <w:ind w:right="420" w:rightChars="200" w:firstLine="480" w:firstLineChars="200"/>
        <w:rPr>
          <w:rFonts w:asciiTheme="minorEastAsia" w:hAnsiTheme="minorEastAsia" w:cstheme="minorEastAsia"/>
          <w:color w:val="auto"/>
        </w:rPr>
      </w:pPr>
      <w:r>
        <w:rPr>
          <w:rFonts w:hint="eastAsia" w:asciiTheme="minorEastAsia" w:hAnsiTheme="minorEastAsia" w:cstheme="minorEastAsia"/>
          <w:color w:val="auto"/>
        </w:rPr>
        <w:t>2．定期检查各分支机构的资金部的结算情况；</w:t>
      </w:r>
    </w:p>
    <w:p>
      <w:pPr>
        <w:pStyle w:val="3"/>
        <w:spacing w:line="600" w:lineRule="exact"/>
        <w:ind w:right="420" w:rightChars="200" w:firstLine="480" w:firstLineChars="200"/>
        <w:rPr>
          <w:rFonts w:asciiTheme="minorEastAsia" w:hAnsiTheme="minorEastAsia" w:cstheme="minorEastAsia"/>
          <w:color w:val="auto"/>
        </w:rPr>
      </w:pPr>
      <w:r>
        <w:rPr>
          <w:rFonts w:hint="eastAsia" w:asciiTheme="minorEastAsia" w:hAnsiTheme="minorEastAsia" w:cstheme="minorEastAsia"/>
          <w:color w:val="auto"/>
        </w:rPr>
        <w:t>3．定期检查各分支机构在银行存款和在财务部存款的对账工作；</w:t>
      </w:r>
    </w:p>
    <w:p>
      <w:pPr>
        <w:pStyle w:val="3"/>
        <w:spacing w:line="600" w:lineRule="exact"/>
        <w:ind w:right="420" w:rightChars="200" w:firstLine="480" w:firstLineChars="200"/>
        <w:rPr>
          <w:rFonts w:asciiTheme="minorEastAsia" w:hAnsiTheme="minorEastAsia" w:cstheme="minorEastAsia"/>
          <w:color w:val="auto"/>
        </w:rPr>
      </w:pPr>
      <w:r>
        <w:rPr>
          <w:rFonts w:hint="eastAsia" w:asciiTheme="minorEastAsia" w:hAnsiTheme="minorEastAsia" w:cstheme="minorEastAsia"/>
          <w:color w:val="auto"/>
        </w:rPr>
        <w:t>4．对分支机构在财务部汇出的大额款项进行跟踪检查或抽查。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ˎ̥">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大黑简体">
    <w:altName w:val="微软雅黑"/>
    <w:panose1 w:val="02010601030101010101"/>
    <w:charset w:val="86"/>
    <w:family w:val="auto"/>
    <w:pitch w:val="default"/>
    <w:sig w:usb0="00000000" w:usb1="00000000" w:usb2="0000001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Iskoola Pota">
    <w:panose1 w:val="020B0502040204020203"/>
    <w:charset w:val="00"/>
    <w:family w:val="auto"/>
    <w:pitch w:val="default"/>
    <w:sig w:usb0="00000003" w:usb1="00000000" w:usb2="00000200" w:usb3="00000000" w:csb0="20000001" w:csb1="00000000"/>
  </w:font>
  <w:font w:name="IrisUPC">
    <w:panose1 w:val="020B0604020202020204"/>
    <w:charset w:val="00"/>
    <w:family w:val="auto"/>
    <w:pitch w:val="default"/>
    <w:sig w:usb0="01000007" w:usb1="00000002" w:usb2="00000000" w:usb3="00000000" w:csb0="00010001" w:csb1="00000000"/>
  </w:font>
  <w:font w:name="仿宋_GB2312">
    <w:altName w:val="仿宋"/>
    <w:panose1 w:val="00000000000000000000"/>
    <w:charset w:val="00"/>
    <w:family w:val="auto"/>
    <w:pitch w:val="default"/>
    <w:sig w:usb0="00000000" w:usb1="00000000" w:usb2="00000000" w:usb3="00000000" w:csb0="00000000" w:csb1="00000000"/>
  </w:font>
  <w:font w:name="GulimChe">
    <w:panose1 w:val="020B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Gulim">
    <w:panose1 w:val="020B0600000101010101"/>
    <w:charset w:val="81"/>
    <w:family w:val="auto"/>
    <w:pitch w:val="default"/>
    <w:sig w:usb0="B00002AF" w:usb1="69D77CFB" w:usb2="00000030" w:usb3="00000000" w:csb0="4008009F" w:csb1="DFD70000"/>
  </w:font>
  <w:font w:name="方正仿宋_GBK">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2082"/>
    <w:multiLevelType w:val="multilevel"/>
    <w:tmpl w:val="17EA208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85D4510"/>
    <w:multiLevelType w:val="multilevel"/>
    <w:tmpl w:val="285D4510"/>
    <w:lvl w:ilvl="0" w:tentative="0">
      <w:start w:val="7"/>
      <w:numFmt w:val="japaneseCounting"/>
      <w:lvlText w:val="第%1条"/>
      <w:lvlJc w:val="left"/>
      <w:pPr>
        <w:ind w:left="1388" w:hanging="828"/>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0A60EC0"/>
    <w:multiLevelType w:val="multilevel"/>
    <w:tmpl w:val="30A60EC0"/>
    <w:lvl w:ilvl="0" w:tentative="0">
      <w:start w:val="1"/>
      <w:numFmt w:val="japaneseCounting"/>
      <w:lvlText w:val="第%1条"/>
      <w:lvlJc w:val="left"/>
      <w:pPr>
        <w:tabs>
          <w:tab w:val="left" w:pos="1755"/>
        </w:tabs>
        <w:ind w:left="1755" w:hanging="855"/>
      </w:pPr>
      <w:rPr>
        <w:rFonts w:hint="eastAsia"/>
      </w:rPr>
    </w:lvl>
    <w:lvl w:ilvl="1" w:tentative="0">
      <w:start w:val="1"/>
      <w:numFmt w:val="decimal"/>
      <w:lvlText w:val="%2、"/>
      <w:lvlJc w:val="left"/>
      <w:pPr>
        <w:tabs>
          <w:tab w:val="left" w:pos="1700"/>
        </w:tabs>
        <w:ind w:left="1700" w:hanging="720"/>
      </w:pPr>
      <w:rPr>
        <w:rFonts w:ascii="Times New Roman" w:hAnsi="Times New Roman" w:eastAsia="Times New Roman" w:cs="Times New Roman"/>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57A1BEAB"/>
    <w:multiLevelType w:val="singleLevel"/>
    <w:tmpl w:val="57A1BEAB"/>
    <w:lvl w:ilvl="0" w:tentative="0">
      <w:start w:val="2"/>
      <w:numFmt w:val="chineseCounting"/>
      <w:suff w:val="space"/>
      <w:lvlText w:val="第%1节"/>
      <w:lvlJc w:val="left"/>
    </w:lvl>
  </w:abstractNum>
  <w:abstractNum w:abstractNumId="4">
    <w:nsid w:val="57A42C2E"/>
    <w:multiLevelType w:val="singleLevel"/>
    <w:tmpl w:val="57A42C2E"/>
    <w:lvl w:ilvl="0" w:tentative="0">
      <w:start w:val="5"/>
      <w:numFmt w:val="chineseCounting"/>
      <w:suff w:val="space"/>
      <w:lvlText w:val="第%1节"/>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472C0"/>
    <w:rsid w:val="1F181997"/>
    <w:rsid w:val="294C004F"/>
    <w:rsid w:val="2FA926C6"/>
    <w:rsid w:val="736472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2016-10-14T07:13:00Z</dcterms:created>
  <dc:creator>Administrator</dc:creator>
  <cp:lastModifiedBy>Administrator</cp:lastModifiedBy>
  <dcterms:modified xsi:type="dcterms:W3CDTF">2017-03-06T07:02:33Z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