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1D632">
      <w:pPr>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-273685</wp:posOffset>
            </wp:positionV>
            <wp:extent cx="7574280" cy="10706100"/>
            <wp:effectExtent l="0" t="0" r="0" b="7620"/>
            <wp:wrapSquare wrapText="bothSides"/>
            <wp:docPr id="2" name="图片 2" descr="C:/Users/Administrator/Desktop/双园双馆行程(1)/画板 1.jpg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双园双馆行程(1)/画板 1.jpg画板 1"/>
                    <pic:cNvPicPr>
                      <a:picLocks noChangeAspect="1"/>
                    </pic:cNvPicPr>
                  </pic:nvPicPr>
                  <pic:blipFill>
                    <a:blip r:embed="rId5"/>
                    <a:srcRect t="8" b="8"/>
                    <a:stretch>
                      <a:fillRect/>
                    </a:stretch>
                  </pic:blipFill>
                  <pic:spPr>
                    <a:xfrm>
                      <a:off x="0" y="0"/>
                      <a:ext cx="7574280" cy="10706100"/>
                    </a:xfrm>
                    <a:prstGeom prst="rect">
                      <a:avLst/>
                    </a:prstGeom>
                  </pic:spPr>
                </pic:pic>
              </a:graphicData>
            </a:graphic>
          </wp:anchor>
        </w:drawing>
      </w:r>
    </w:p>
    <w:p w14:paraId="0FB9A91C">
      <w:pPr>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-273685</wp:posOffset>
            </wp:positionV>
            <wp:extent cx="7563485" cy="10690860"/>
            <wp:effectExtent l="0" t="0" r="10795" b="7620"/>
            <wp:wrapSquare wrapText="bothSides"/>
            <wp:docPr id="3" name="图片 3" descr="C:/Users/Administrator/Desktop/双园双馆行程(1)/画板 2.jpg画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双园双馆行程(1)/画板 2.jpg画板 2"/>
                    <pic:cNvPicPr>
                      <a:picLocks noChangeAspect="1"/>
                    </pic:cNvPicPr>
                  </pic:nvPicPr>
                  <pic:blipFill>
                    <a:blip r:embed="rId6"/>
                    <a:srcRect l="33" r="33"/>
                    <a:stretch>
                      <a:fillRect/>
                    </a:stretch>
                  </pic:blipFill>
                  <pic:spPr>
                    <a:xfrm>
                      <a:off x="0" y="0"/>
                      <a:ext cx="7563485" cy="10690860"/>
                    </a:xfrm>
                    <a:prstGeom prst="rect">
                      <a:avLst/>
                    </a:prstGeom>
                  </pic:spPr>
                </pic:pic>
              </a:graphicData>
            </a:graphic>
          </wp:anchor>
        </w:drawing>
      </w:r>
    </w:p>
    <w:p w14:paraId="238E7039">
      <w:pPr>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-273685</wp:posOffset>
            </wp:positionV>
            <wp:extent cx="7574280" cy="10706100"/>
            <wp:effectExtent l="0" t="0" r="0" b="7620"/>
            <wp:wrapSquare wrapText="bothSides"/>
            <wp:docPr id="4" name="图片 4" descr="C:/Users/Administrator/Desktop/双园双馆行程(1)/画板 3.jpg画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双园双馆行程(1)/画板 3.jpg画板 3"/>
                    <pic:cNvPicPr>
                      <a:picLocks noChangeAspect="1"/>
                    </pic:cNvPicPr>
                  </pic:nvPicPr>
                  <pic:blipFill>
                    <a:blip r:embed="rId7"/>
                    <a:srcRect l="33" r="33"/>
                    <a:stretch>
                      <a:fillRect/>
                    </a:stretch>
                  </pic:blipFill>
                  <pic:spPr>
                    <a:xfrm>
                      <a:off x="0" y="0"/>
                      <a:ext cx="7574280" cy="10706100"/>
                    </a:xfrm>
                    <a:prstGeom prst="rect">
                      <a:avLst/>
                    </a:prstGeom>
                  </pic:spPr>
                </pic:pic>
              </a:graphicData>
            </a:graphic>
          </wp:anchor>
        </w:drawing>
      </w:r>
    </w:p>
    <w:p w14:paraId="44C2598A">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-273685</wp:posOffset>
            </wp:positionV>
            <wp:extent cx="7566660" cy="10695305"/>
            <wp:effectExtent l="0" t="0" r="7620" b="3175"/>
            <wp:wrapSquare wrapText="bothSides"/>
            <wp:docPr id="5" name="图片 5" descr="C:/Users/Administrator/Desktop/双园双馆行程(1)/画板 4.jpg画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双园双馆行程(1)/画板 4.jpg画板 4"/>
                    <pic:cNvPicPr>
                      <a:picLocks noChangeAspect="1"/>
                    </pic:cNvPicPr>
                  </pic:nvPicPr>
                  <pic:blipFill>
                    <a:blip r:embed="rId8"/>
                    <a:srcRect l="33" r="33"/>
                    <a:stretch>
                      <a:fillRect/>
                    </a:stretch>
                  </pic:blipFill>
                  <pic:spPr>
                    <a:xfrm>
                      <a:off x="0" y="0"/>
                      <a:ext cx="7566660" cy="10695305"/>
                    </a:xfrm>
                    <a:prstGeom prst="rect">
                      <a:avLst/>
                    </a:prstGeom>
                  </pic:spPr>
                </pic:pic>
              </a:graphicData>
            </a:graphic>
          </wp:anchor>
        </w:drawing>
      </w:r>
    </w:p>
    <w:p w14:paraId="51DE3BD3">
      <w:pPr>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-273685</wp:posOffset>
            </wp:positionV>
            <wp:extent cx="7574280" cy="10706100"/>
            <wp:effectExtent l="0" t="0" r="0" b="7620"/>
            <wp:wrapSquare wrapText="bothSides"/>
            <wp:docPr id="6" name="图片 6" descr="C:/Users/Administrator/Desktop/双园双馆行程(1)/画板 5.jpg画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双园双馆行程(1)/画板 5.jpg画板 5"/>
                    <pic:cNvPicPr>
                      <a:picLocks noChangeAspect="1"/>
                    </pic:cNvPicPr>
                  </pic:nvPicPr>
                  <pic:blipFill>
                    <a:blip r:embed="rId9"/>
                    <a:srcRect l="33" r="33"/>
                    <a:stretch>
                      <a:fillRect/>
                    </a:stretch>
                  </pic:blipFill>
                  <pic:spPr>
                    <a:xfrm>
                      <a:off x="0" y="0"/>
                      <a:ext cx="7574280" cy="10706100"/>
                    </a:xfrm>
                    <a:prstGeom prst="rect">
                      <a:avLst/>
                    </a:prstGeom>
                  </pic:spPr>
                </pic:pic>
              </a:graphicData>
            </a:graphic>
          </wp:anchor>
        </w:drawing>
      </w:r>
    </w:p>
    <w:p w14:paraId="589F17C1">
      <w:pPr>
        <w:rPr>
          <w:rFonts w:hint="default" w:eastAsiaTheme="minorEastAsia"/>
          <w:sz w:val="18"/>
          <w:szCs w:val="18"/>
          <w:lang w:val="en-US" w:eastAsia="zh-CN"/>
        </w:rPr>
      </w:pPr>
    </w:p>
    <w:p w14:paraId="27EF201A">
      <w:pPr>
        <w:rPr>
          <w:rFonts w:hint="default" w:eastAsiaTheme="minorEastAsia"/>
          <w:sz w:val="18"/>
          <w:szCs w:val="18"/>
          <w:lang w:val="en-US" w:eastAsia="zh-CN"/>
        </w:rPr>
      </w:pPr>
    </w:p>
    <w:p w14:paraId="1BAE3678">
      <w:pPr>
        <w:rPr>
          <w:rFonts w:hint="default" w:eastAsiaTheme="minorEastAsia"/>
          <w:sz w:val="18"/>
          <w:szCs w:val="18"/>
          <w:lang w:val="en-US" w:eastAsia="zh-CN"/>
        </w:rPr>
      </w:pPr>
    </w:p>
    <w:p w14:paraId="25A3A667">
      <w:pPr>
        <w:rPr>
          <w:rFonts w:hint="default" w:eastAsiaTheme="minorEastAsia"/>
          <w:sz w:val="18"/>
          <w:szCs w:val="18"/>
          <w:lang w:val="en-US" w:eastAsia="zh-CN"/>
        </w:rPr>
      </w:pPr>
    </w:p>
    <w:p w14:paraId="20B76584">
      <w:pPr>
        <w:rPr>
          <w:rFonts w:hint="default" w:eastAsiaTheme="minorEastAsia"/>
          <w:sz w:val="18"/>
          <w:szCs w:val="18"/>
          <w:lang w:val="en-US" w:eastAsia="zh-CN"/>
        </w:rPr>
      </w:pPr>
    </w:p>
    <w:p w14:paraId="0B76314E">
      <w:pPr>
        <w:keepNext w:val="0"/>
        <w:keepLines w:val="0"/>
        <w:pageBreakBefore w:val="0"/>
        <w:widowControl w:val="0"/>
        <w:kinsoku/>
        <w:wordWrap/>
        <w:overflowPunct/>
        <w:topLinePunct w:val="0"/>
        <w:autoSpaceDE/>
        <w:autoSpaceDN/>
        <w:bidi w:val="0"/>
        <w:adjustRightInd/>
        <w:snapToGrid/>
        <w:spacing w:line="100" w:lineRule="exact"/>
        <w:jc w:val="center"/>
        <w:textAlignment w:val="auto"/>
        <w:rPr>
          <w:rFonts w:hint="eastAsia" w:ascii="微软雅黑" w:hAnsi="微软雅黑" w:eastAsia="微软雅黑" w:cs="微软雅黑"/>
          <w:b/>
          <w:bCs/>
          <w:color w:val="1647BC"/>
          <w:sz w:val="48"/>
          <w:szCs w:val="48"/>
          <w:lang w:val="en-US" w:eastAsia="zh-CN"/>
        </w:rPr>
      </w:pPr>
    </w:p>
    <w:tbl>
      <w:tblPr>
        <w:tblStyle w:val="5"/>
        <w:tblW w:w="10692" w:type="dxa"/>
        <w:tblInd w:w="-10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5304"/>
        <w:gridCol w:w="2448"/>
      </w:tblGrid>
      <w:tr w14:paraId="3EA6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40" w:type="dxa"/>
            <w:tcBorders>
              <w:top w:val="single" w:color="00B0F0" w:sz="4" w:space="0"/>
              <w:left w:val="single" w:color="00B0F0" w:sz="4" w:space="0"/>
              <w:bottom w:val="single" w:color="00B0F0" w:sz="4" w:space="0"/>
              <w:right w:val="single" w:color="FFFFFF" w:sz="4" w:space="0"/>
            </w:tcBorders>
            <w:shd w:val="clear" w:color="auto" w:fill="00B0F0"/>
          </w:tcPr>
          <w:p w14:paraId="0087A9F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D1  成都-香港</w:t>
            </w:r>
          </w:p>
        </w:tc>
        <w:tc>
          <w:tcPr>
            <w:tcW w:w="5304" w:type="dxa"/>
            <w:tcBorders>
              <w:top w:val="single" w:color="00B0F0" w:sz="4" w:space="0"/>
              <w:left w:val="single" w:color="FFFFFF" w:sz="4" w:space="0"/>
              <w:bottom w:val="single" w:color="00B0F0" w:sz="4" w:space="0"/>
              <w:right w:val="single" w:color="FFFFFF" w:sz="4" w:space="0"/>
            </w:tcBorders>
            <w:shd w:val="clear" w:color="auto" w:fill="00B0F0"/>
          </w:tcPr>
          <w:p w14:paraId="4EE7EC15">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午餐：包含    晚餐：包含</w:t>
            </w:r>
          </w:p>
        </w:tc>
        <w:tc>
          <w:tcPr>
            <w:tcW w:w="2448" w:type="dxa"/>
            <w:tcBorders>
              <w:top w:val="single" w:color="00B0F0" w:sz="4" w:space="0"/>
              <w:left w:val="single" w:color="FFFFFF" w:sz="4" w:space="0"/>
              <w:bottom w:val="single" w:color="00B0F0" w:sz="4" w:space="0"/>
              <w:right w:val="single" w:color="00B0F0" w:sz="4" w:space="0"/>
            </w:tcBorders>
            <w:shd w:val="clear" w:color="auto" w:fill="00B0F0"/>
          </w:tcPr>
          <w:p w14:paraId="1160D491">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住宿：香港四钻酒店</w:t>
            </w:r>
          </w:p>
        </w:tc>
      </w:tr>
      <w:tr w14:paraId="3271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trPr>
        <w:tc>
          <w:tcPr>
            <w:tcW w:w="10692" w:type="dxa"/>
            <w:gridSpan w:val="3"/>
            <w:tcBorders>
              <w:top w:val="single" w:color="00B0F0" w:sz="4" w:space="0"/>
              <w:left w:val="single" w:color="00B0F0" w:sz="4" w:space="0"/>
              <w:bottom w:val="single" w:color="00B0F0" w:sz="4" w:space="0"/>
              <w:right w:val="single" w:color="00B0F0" w:sz="4" w:space="0"/>
            </w:tcBorders>
          </w:tcPr>
          <w:p w14:paraId="56AE9EE5">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于指定时间在成都天府机场集合，搭乘航班前往素有东方之珠美誉的香港。参考航班：CX917 08:15起飞</w:t>
            </w:r>
          </w:p>
          <w:p w14:paraId="666506F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导游接机后，前往餐厅享用港式特色午餐后，前往香港岛最高点</w:t>
            </w:r>
            <w:r>
              <w:rPr>
                <w:rFonts w:hint="eastAsia" w:ascii="微软雅黑" w:hAnsi="微软雅黑" w:eastAsia="微软雅黑" w:cs="微软雅黑"/>
                <w:b/>
                <w:bCs/>
                <w:color w:val="FF0000"/>
                <w:sz w:val="21"/>
                <w:szCs w:val="21"/>
                <w:lang w:val="en-US" w:eastAsia="zh-CN"/>
              </w:rPr>
              <w:t>【太平山】</w:t>
            </w:r>
            <w:r>
              <w:rPr>
                <w:rFonts w:hint="eastAsia" w:ascii="微软雅黑" w:hAnsi="微软雅黑" w:eastAsia="微软雅黑" w:cs="微软雅黑"/>
                <w:sz w:val="21"/>
                <w:szCs w:val="21"/>
                <w:lang w:val="en-US" w:eastAsia="zh-CN"/>
              </w:rPr>
              <w:t>，海拔554米，是香港最受欢迎的名胜景点之一。登上太平山顶，来到狮子亭，解锁一览无余的辽阔风景，远眺大屿山，俯瞰香港全景，近处可见层层叠叠的摩天高楼和维多利亚海港全景。</w:t>
            </w:r>
          </w:p>
          <w:p w14:paraId="35D1B39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【浅水湾】</w:t>
            </w:r>
            <w:r>
              <w:rPr>
                <w:rFonts w:hint="eastAsia" w:ascii="微软雅黑" w:hAnsi="微软雅黑" w:eastAsia="微软雅黑" w:cs="微软雅黑"/>
                <w:sz w:val="21"/>
                <w:szCs w:val="21"/>
                <w:lang w:val="en-US" w:eastAsia="zh-CN"/>
              </w:rPr>
              <w:t>依山傍海，海湾呈新月形，号称“天下第一湾”，也有“东方夏威夷”之美誉。这里是香港的风水宝地，其秀丽景色使它成为港岛著名的高级住宅区之一。</w:t>
            </w:r>
          </w:p>
          <w:p w14:paraId="14257025">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【香港大学】</w:t>
            </w:r>
            <w:r>
              <w:rPr>
                <w:rFonts w:hint="eastAsia" w:ascii="微软雅黑" w:hAnsi="微软雅黑" w:eastAsia="微软雅黑" w:cs="微软雅黑"/>
                <w:sz w:val="21"/>
                <w:szCs w:val="21"/>
                <w:lang w:val="en-US" w:eastAsia="zh-CN"/>
              </w:rPr>
              <w:t>是香港第一所大学，奠基于1910年3月16日，是一所国际化公立研究型大学，有亚洲“常春藤”之称。香港大学以英语为教学语言，它在经济、金融、会计、生物医学、牙医、教育学、人文学科、法学、语言学、政治学等领域展现出较强的科研实力，在2019年QS世界大学排名中位列世界第25名。</w:t>
            </w:r>
            <w:r>
              <w:rPr>
                <w:rFonts w:hint="eastAsia" w:ascii="微软雅黑" w:hAnsi="微软雅黑" w:eastAsia="微软雅黑" w:cs="微软雅黑"/>
                <w:b/>
                <w:bCs/>
                <w:color w:val="FF0000"/>
                <w:sz w:val="21"/>
                <w:szCs w:val="21"/>
                <w:lang w:val="en-US" w:eastAsia="zh-CN"/>
              </w:rPr>
              <w:t>我们将在学霸学长或学姐的带领下</w:t>
            </w:r>
            <w:r>
              <w:rPr>
                <w:rFonts w:hint="eastAsia" w:ascii="微软雅黑" w:hAnsi="微软雅黑" w:eastAsia="微软雅黑" w:cs="微软雅黑"/>
                <w:sz w:val="21"/>
                <w:szCs w:val="21"/>
                <w:lang w:val="en-US" w:eastAsia="zh-CN"/>
              </w:rPr>
              <w:t>，参观游览香港大学，听学长学姐分享学习心得和有趣的校园生活。</w:t>
            </w:r>
          </w:p>
          <w:p w14:paraId="6A8CF3B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备注：大学不是开放性景点，如果遇到政策等特殊原因不能前往，将会更改其他大学或景点代替。</w:t>
            </w:r>
          </w:p>
          <w:p w14:paraId="4A5035F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lang w:val="en-US" w:eastAsia="zh-CN"/>
              </w:rPr>
              <w:t>【香港太空馆】</w:t>
            </w:r>
            <w:r>
              <w:rPr>
                <w:rFonts w:hint="eastAsia" w:ascii="微软雅黑" w:hAnsi="微软雅黑" w:eastAsia="微软雅黑" w:cs="微软雅黑"/>
                <w:sz w:val="21"/>
                <w:szCs w:val="21"/>
                <w:lang w:val="en-US" w:eastAsia="zh-CN"/>
              </w:rPr>
              <w:t>占地8千平方米，是宣传天文及太空科学知识为主的天文博物馆，也是世界上设备最先进的太空科学馆之一。馆内投放影象的星像投影机，是亚洲最先进的仪器，其所产生的影像，能令人感到宇宙的深邃。太空馆设计独特的蛋形外壳，早已成为香港特别行政区的一个地标。</w:t>
            </w:r>
          </w:p>
          <w:p w14:paraId="3637053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64384" behindDoc="1" locked="0" layoutInCell="1" allowOverlap="1">
                  <wp:simplePos x="0" y="0"/>
                  <wp:positionH relativeFrom="column">
                    <wp:posOffset>-53340</wp:posOffset>
                  </wp:positionH>
                  <wp:positionV relativeFrom="paragraph">
                    <wp:posOffset>289560</wp:posOffset>
                  </wp:positionV>
                  <wp:extent cx="6768465" cy="1473835"/>
                  <wp:effectExtent l="0" t="0" r="0" b="4445"/>
                  <wp:wrapTight wrapText="bothSides">
                    <wp:wrapPolygon>
                      <wp:start x="0" y="0"/>
                      <wp:lineTo x="0" y="21442"/>
                      <wp:lineTo x="21545" y="21442"/>
                      <wp:lineTo x="21545" y="0"/>
                      <wp:lineTo x="0" y="0"/>
                    </wp:wrapPolygon>
                  </wp:wrapTight>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0"/>
                          <a:stretch>
                            <a:fillRect/>
                          </a:stretch>
                        </pic:blipFill>
                        <pic:spPr>
                          <a:xfrm>
                            <a:off x="0" y="0"/>
                            <a:ext cx="6768465" cy="1473835"/>
                          </a:xfrm>
                          <a:prstGeom prst="rect">
                            <a:avLst/>
                          </a:prstGeom>
                        </pic:spPr>
                      </pic:pic>
                    </a:graphicData>
                  </a:graphic>
                </wp:anchor>
              </w:drawing>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 游览结束后，乘车前往酒店，办理入住休息。</w:t>
            </w:r>
          </w:p>
        </w:tc>
      </w:tr>
      <w:tr w14:paraId="56EC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40" w:type="dxa"/>
            <w:tcBorders>
              <w:top w:val="single" w:color="00B0F0" w:sz="4" w:space="0"/>
              <w:left w:val="single" w:color="00B0F0" w:sz="4" w:space="0"/>
              <w:bottom w:val="single" w:color="00B0F0" w:sz="4" w:space="0"/>
              <w:right w:val="single" w:color="FFFFFF" w:sz="4" w:space="0"/>
            </w:tcBorders>
            <w:shd w:val="clear" w:color="auto" w:fill="00B0F0"/>
          </w:tcPr>
          <w:p w14:paraId="0935B57A">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D2  香港</w:t>
            </w:r>
          </w:p>
        </w:tc>
        <w:tc>
          <w:tcPr>
            <w:tcW w:w="5304" w:type="dxa"/>
            <w:tcBorders>
              <w:top w:val="single" w:color="00B0F0" w:sz="4" w:space="0"/>
              <w:left w:val="single" w:color="FFFFFF" w:sz="4" w:space="0"/>
              <w:bottom w:val="single" w:color="00B0F0" w:sz="4" w:space="0"/>
              <w:right w:val="single" w:color="FFFFFF" w:sz="4" w:space="0"/>
            </w:tcBorders>
            <w:shd w:val="clear" w:color="auto" w:fill="00B0F0"/>
          </w:tcPr>
          <w:p w14:paraId="06BE0565">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早餐：酒店自助    午餐：包含    晚餐：自理</w:t>
            </w:r>
          </w:p>
        </w:tc>
        <w:tc>
          <w:tcPr>
            <w:tcW w:w="2448" w:type="dxa"/>
            <w:tcBorders>
              <w:top w:val="single" w:color="00B0F0" w:sz="4" w:space="0"/>
              <w:left w:val="single" w:color="FFFFFF" w:sz="4" w:space="0"/>
              <w:bottom w:val="single" w:color="00B0F0" w:sz="4" w:space="0"/>
              <w:right w:val="single" w:color="00B0F0" w:sz="4" w:space="0"/>
            </w:tcBorders>
            <w:shd w:val="clear" w:color="auto" w:fill="00B0F0"/>
          </w:tcPr>
          <w:p w14:paraId="26564A66">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住宿：香港四钻酒店</w:t>
            </w:r>
          </w:p>
        </w:tc>
      </w:tr>
      <w:tr w14:paraId="09C8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92" w:type="dxa"/>
            <w:gridSpan w:val="3"/>
            <w:tcBorders>
              <w:top w:val="single" w:color="00B0F0" w:sz="4" w:space="0"/>
              <w:left w:val="single" w:color="00B0F0" w:sz="4" w:space="0"/>
              <w:bottom w:val="single" w:color="00B0F0" w:sz="4" w:space="0"/>
              <w:right w:val="single" w:color="00B0F0" w:sz="4" w:space="0"/>
            </w:tcBorders>
            <w:shd w:val="clear" w:color="auto" w:fill="auto"/>
          </w:tcPr>
          <w:p w14:paraId="4DD420B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酒店享用自助早餐后，在导游的带领下乘车前往尖沙咀游览</w:t>
            </w:r>
            <w:r>
              <w:rPr>
                <w:rFonts w:hint="eastAsia" w:ascii="微软雅黑" w:hAnsi="微软雅黑" w:eastAsia="微软雅黑" w:cs="微软雅黑"/>
                <w:b/>
                <w:bCs/>
                <w:color w:val="FF0000"/>
                <w:sz w:val="21"/>
                <w:szCs w:val="21"/>
                <w:lang w:val="en-US" w:eastAsia="zh-CN"/>
              </w:rPr>
              <w:t>【1881尖沙咀前水警总部】</w:t>
            </w:r>
            <w:r>
              <w:rPr>
                <w:rFonts w:hint="eastAsia" w:ascii="微软雅黑" w:hAnsi="微软雅黑" w:eastAsia="微软雅黑" w:cs="微软雅黑"/>
                <w:sz w:val="21"/>
                <w:szCs w:val="21"/>
                <w:lang w:val="en-US" w:eastAsia="zh-CN"/>
              </w:rPr>
              <w:t>早于1842年，该处已设立“九龙西1号炮台”上，但于1854年前已废置。1884年，香港警方在炮台遗址兴建水警总部大楼。大楼楼高两至三层，具维多利亚时代的建筑特色，旁边设有与尖沙咀警署共享的马房。</w:t>
            </w:r>
          </w:p>
          <w:p w14:paraId="3FE5B33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【星光大道】</w:t>
            </w:r>
            <w:r>
              <w:rPr>
                <w:rFonts w:hint="eastAsia" w:ascii="微软雅黑" w:hAnsi="微软雅黑" w:eastAsia="微软雅黑" w:cs="微软雅黑"/>
                <w:sz w:val="21"/>
                <w:szCs w:val="21"/>
                <w:lang w:val="en-US" w:eastAsia="zh-CN"/>
              </w:rPr>
              <w:t>这是一条以香港电影业发展史及旨在表扬幕后巨星和幕后电影工作者成就为主题的滨海街道，当你一边吹着海风，一边细细观赏这些明星牌匾，仿佛能感受到香港浩瀚的影视历史在你脑中回放。</w:t>
            </w:r>
          </w:p>
          <w:p w14:paraId="0584DBC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【前九广铁路钟楼】</w:t>
            </w:r>
            <w:r>
              <w:rPr>
                <w:rFonts w:hint="eastAsia" w:ascii="微软雅黑" w:hAnsi="微软雅黑" w:eastAsia="微软雅黑" w:cs="微软雅黑"/>
                <w:sz w:val="21"/>
                <w:szCs w:val="21"/>
                <w:lang w:val="en-US" w:eastAsia="zh-CN"/>
              </w:rPr>
              <w:t>是九龙的地标，位于维港边，始建于1915年，是蒸汽火车时代的标志。曾经，漫步于钟楼，听着清越悠扬的“维港钟声”，是一代老港人的集体回忆。</w:t>
            </w:r>
          </w:p>
          <w:p w14:paraId="25A4F3C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【外观会展中心】【金紫荆广场】</w:t>
            </w:r>
            <w:r>
              <w:rPr>
                <w:rFonts w:hint="eastAsia" w:ascii="微软雅黑" w:hAnsi="微软雅黑" w:eastAsia="微软雅黑" w:cs="微软雅黑"/>
                <w:sz w:val="21"/>
                <w:szCs w:val="21"/>
                <w:lang w:val="en-US" w:eastAsia="zh-CN"/>
              </w:rPr>
              <w:t>有高6米的“永远盛开的紫荆花”雕塑以及香港会展中心新翼，伫立于湾仔香港会议展览中心海旁的金紫荆广场中，三面被维港包围，它见证了1997年的香港回归，更见证了香港回归祖国后的繁荣与昌盛。</w:t>
            </w:r>
          </w:p>
        </w:tc>
      </w:tr>
    </w:tbl>
    <w:p w14:paraId="492239E9">
      <w:pPr>
        <w:rPr>
          <w:rFonts w:hint="eastAsia" w:eastAsiaTheme="minorEastAsia"/>
          <w:lang w:eastAsia="zh-CN"/>
        </w:rPr>
      </w:pPr>
    </w:p>
    <w:p w14:paraId="520A0068">
      <w:pPr>
        <w:rPr>
          <w:rFonts w:hint="eastAsia" w:eastAsiaTheme="minorEastAsia"/>
          <w:lang w:eastAsia="zh-CN"/>
        </w:rPr>
      </w:pPr>
    </w:p>
    <w:p w14:paraId="630ADE58">
      <w:pPr>
        <w:rPr>
          <w:rFonts w:hint="eastAsia" w:eastAsiaTheme="minorEastAsia"/>
          <w:lang w:eastAsia="zh-CN"/>
        </w:rPr>
      </w:pPr>
    </w:p>
    <w:p w14:paraId="26E6F006">
      <w:pPr>
        <w:rPr>
          <w:rFonts w:hint="eastAsia" w:eastAsiaTheme="minorEastAsia"/>
          <w:lang w:eastAsia="zh-CN"/>
        </w:rPr>
      </w:pPr>
    </w:p>
    <w:p w14:paraId="190D9C2C">
      <w:pPr>
        <w:rPr>
          <w:rFonts w:hint="eastAsia" w:eastAsiaTheme="minorEastAsia"/>
          <w:lang w:eastAsia="zh-CN"/>
        </w:rPr>
      </w:pPr>
    </w:p>
    <w:p w14:paraId="3DE59FEE">
      <w:pPr>
        <w:rPr>
          <w:rFonts w:hint="eastAsia" w:eastAsiaTheme="minorEastAsia"/>
          <w:lang w:eastAsia="zh-CN"/>
        </w:rPr>
      </w:pPr>
    </w:p>
    <w:tbl>
      <w:tblPr>
        <w:tblStyle w:val="5"/>
        <w:tblW w:w="10692" w:type="dxa"/>
        <w:tblInd w:w="-10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5304"/>
        <w:gridCol w:w="2448"/>
      </w:tblGrid>
      <w:tr w14:paraId="01C4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gridSpan w:val="3"/>
            <w:tcBorders>
              <w:top w:val="single" w:color="00B0F0" w:sz="4" w:space="0"/>
              <w:left w:val="single" w:color="00B0F0" w:sz="4" w:space="0"/>
              <w:bottom w:val="single" w:color="00B0F0" w:sz="4" w:space="0"/>
              <w:right w:val="single" w:color="00B0F0" w:sz="4" w:space="0"/>
            </w:tcBorders>
            <w:shd w:val="clear" w:color="auto" w:fill="auto"/>
          </w:tcPr>
          <w:p w14:paraId="36CD262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【天星小轮】</w:t>
            </w:r>
            <w:r>
              <w:rPr>
                <w:rFonts w:hint="eastAsia" w:ascii="微软雅黑" w:hAnsi="微软雅黑" w:eastAsia="微软雅黑" w:cs="微软雅黑"/>
                <w:b w:val="0"/>
                <w:bCs w:val="0"/>
                <w:sz w:val="21"/>
                <w:szCs w:val="21"/>
                <w:vertAlign w:val="baseline"/>
                <w:lang w:val="en-US" w:eastAsia="zh-CN"/>
              </w:rPr>
              <w:t>是拥有悠久历史的百年渡海交通工具，直至今日依旧保持着复古外形，船舱内的木质长椅、铁质风扇，承载了香港居民的深厚感情，而乘坐它横渡维多利亚港，感受香港最地道的历史气息，成为了来到这里的游客们必体验的项目。天星小轮也受到《Lonely Planet》的强力推荐，列为“人生50个必游项目”之一。</w:t>
            </w:r>
          </w:p>
          <w:p w14:paraId="234DE2A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 午餐后，前往</w:t>
            </w:r>
            <w:r>
              <w:rPr>
                <w:rFonts w:hint="eastAsia" w:ascii="微软雅黑" w:hAnsi="微软雅黑" w:eastAsia="微软雅黑" w:cs="微软雅黑"/>
                <w:b/>
                <w:bCs/>
                <w:color w:val="FF0000"/>
                <w:sz w:val="21"/>
                <w:szCs w:val="21"/>
                <w:lang w:val="en-US" w:eastAsia="zh-CN"/>
              </w:rPr>
              <w:t>【香港海洋公园】</w:t>
            </w:r>
            <w:r>
              <w:rPr>
                <w:rFonts w:hint="eastAsia" w:ascii="微软雅黑" w:hAnsi="微软雅黑" w:eastAsia="微软雅黑" w:cs="微软雅黑"/>
                <w:sz w:val="21"/>
                <w:szCs w:val="21"/>
                <w:lang w:val="en-US" w:eastAsia="zh-CN"/>
              </w:rPr>
              <w:t>这里是一个世界级的海洋动物主题乐园，集娱乐、教育及保育于一体。自1977年开幕以来，香港海洋公园不断更新设施，广受游客欢迎，2012年更勇夺业界最高殊荣的“全球最佳主题公园”大奖，是亚洲第一间获得这个奖项的主题公园！位于香港岛南面的香港海洋公园，占地超过87万平方公尺，分“海滨乐园”及“高峰乐园”两个景区，由架空缆车及海洋列车连接。近年来，陆续登场的多个大型崭新景区。而走进世界十大水族馆之一的“海洋奇观”，您可透过世界最大、直径达5.5公尺的观赏圆顶，探视水底世界。高8公尺、阔13公尺的巨型观赏屏，则让您一次过饱览逾400个品种、逾5,000条珍贵的鱼类。此外，还有全球最大的鯆鱼品种角鹏、数目最多的锤头鲨等。“海豚表演”和“高峰乐园”同样期待您的光临。</w:t>
            </w:r>
          </w:p>
          <w:p w14:paraId="0002DF7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drawing>
                <wp:anchor distT="0" distB="0" distL="114300" distR="114300" simplePos="0" relativeHeight="251665408" behindDoc="1" locked="0" layoutInCell="1" allowOverlap="1">
                  <wp:simplePos x="0" y="0"/>
                  <wp:positionH relativeFrom="column">
                    <wp:posOffset>-53340</wp:posOffset>
                  </wp:positionH>
                  <wp:positionV relativeFrom="paragraph">
                    <wp:posOffset>568960</wp:posOffset>
                  </wp:positionV>
                  <wp:extent cx="6768465" cy="1473835"/>
                  <wp:effectExtent l="0" t="0" r="0" b="4445"/>
                  <wp:wrapTight wrapText="bothSides">
                    <wp:wrapPolygon>
                      <wp:start x="0" y="0"/>
                      <wp:lineTo x="0" y="21442"/>
                      <wp:lineTo x="21545" y="21442"/>
                      <wp:lineTo x="21545" y="0"/>
                      <wp:lineTo x="0" y="0"/>
                    </wp:wrapPolygon>
                  </wp:wrapTight>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11"/>
                          <a:stretch>
                            <a:fillRect/>
                          </a:stretch>
                        </pic:blipFill>
                        <pic:spPr>
                          <a:xfrm>
                            <a:off x="0" y="0"/>
                            <a:ext cx="6768465" cy="1473835"/>
                          </a:xfrm>
                          <a:prstGeom prst="rect">
                            <a:avLst/>
                          </a:prstGeom>
                        </pic:spPr>
                      </pic:pic>
                    </a:graphicData>
                  </a:graphic>
                </wp:anchor>
              </w:drawing>
            </w:r>
            <w:r>
              <w:rPr>
                <w:rFonts w:hint="eastAsia" w:ascii="微软雅黑" w:hAnsi="微软雅黑" w:eastAsia="微软雅黑" w:cs="微软雅黑"/>
                <w:sz w:val="21"/>
                <w:szCs w:val="21"/>
                <w:lang w:val="en-US" w:eastAsia="zh-CN"/>
              </w:rPr>
              <w:t>➢ 由于大家游玩时间和兴趣不同，部分游客可能会提前离开乐园，故不安排乐园返回酒店用车，大家游玩结束后，自行乘地铁返回酒店。</w:t>
            </w:r>
          </w:p>
        </w:tc>
      </w:tr>
      <w:tr w14:paraId="5465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40" w:type="dxa"/>
            <w:tcBorders>
              <w:top w:val="single" w:color="00B0F0" w:sz="4" w:space="0"/>
              <w:left w:val="single" w:color="00B0F0" w:sz="4" w:space="0"/>
              <w:bottom w:val="single" w:color="00B0F0" w:sz="4" w:space="0"/>
              <w:right w:val="single" w:color="FFFFFF" w:sz="4" w:space="0"/>
            </w:tcBorders>
            <w:shd w:val="clear" w:color="auto" w:fill="00B0F0"/>
            <w:vAlign w:val="top"/>
          </w:tcPr>
          <w:p w14:paraId="5C45A4E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D3  香港</w:t>
            </w:r>
          </w:p>
        </w:tc>
        <w:tc>
          <w:tcPr>
            <w:tcW w:w="5304" w:type="dxa"/>
            <w:tcBorders>
              <w:top w:val="single" w:color="00B0F0" w:sz="4" w:space="0"/>
              <w:left w:val="single" w:color="FFFFFF" w:sz="4" w:space="0"/>
              <w:bottom w:val="single" w:color="00B0F0" w:sz="4" w:space="0"/>
              <w:right w:val="single" w:color="FFFFFF" w:sz="4" w:space="0"/>
            </w:tcBorders>
            <w:shd w:val="clear" w:color="auto" w:fill="00B0F0"/>
            <w:vAlign w:val="top"/>
          </w:tcPr>
          <w:p w14:paraId="7F28322A">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早餐：酒店自助    午餐：自理    晚餐：自理</w:t>
            </w:r>
          </w:p>
        </w:tc>
        <w:tc>
          <w:tcPr>
            <w:tcW w:w="2448" w:type="dxa"/>
            <w:tcBorders>
              <w:top w:val="single" w:color="00B0F0" w:sz="4" w:space="0"/>
              <w:left w:val="single" w:color="FFFFFF" w:sz="4" w:space="0"/>
              <w:bottom w:val="single" w:color="00B0F0" w:sz="4" w:space="0"/>
              <w:right w:val="single" w:color="00B0F0" w:sz="4" w:space="0"/>
            </w:tcBorders>
            <w:shd w:val="clear" w:color="auto" w:fill="00B0F0"/>
            <w:vAlign w:val="top"/>
          </w:tcPr>
          <w:p w14:paraId="4AEAFDE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住宿：香港四钻酒店</w:t>
            </w:r>
          </w:p>
        </w:tc>
      </w:tr>
      <w:tr w14:paraId="59D0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gridSpan w:val="3"/>
            <w:tcBorders>
              <w:top w:val="single" w:color="00B0F0" w:sz="4" w:space="0"/>
              <w:left w:val="single" w:color="00B0F0" w:sz="4" w:space="0"/>
              <w:bottom w:val="single" w:color="00B0F0" w:sz="4" w:space="0"/>
              <w:right w:val="single" w:color="00B0F0" w:sz="4" w:space="0"/>
            </w:tcBorders>
            <w:shd w:val="clear" w:color="auto" w:fill="auto"/>
          </w:tcPr>
          <w:p w14:paraId="3D179689">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 酒店享用自助早餐后，在导游的带领下乘车前往香港迪士尼乐园，开启童话奇妙之旅。</w:t>
            </w:r>
          </w:p>
          <w:p w14:paraId="3E1F473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lang w:val="en-US" w:eastAsia="zh-CN"/>
              </w:rPr>
              <w:t>【香港迪士尼乐园】</w:t>
            </w:r>
            <w:r>
              <w:rPr>
                <w:rFonts w:hint="eastAsia" w:ascii="微软雅黑" w:hAnsi="微软雅黑" w:eastAsia="微软雅黑" w:cs="微软雅黑"/>
                <w:b w:val="0"/>
                <w:bCs w:val="0"/>
                <w:sz w:val="21"/>
                <w:szCs w:val="21"/>
                <w:vertAlign w:val="baseline"/>
                <w:lang w:val="en-US" w:eastAsia="zh-CN"/>
              </w:rPr>
              <w:t>是全球仅有的六个迪士尼主题乐园之一。这里是大小朋友所热爱的米奇老鼠与好友、漫威超级英雄、迪士尼公主以及众多迪士尼朋友的家。乐园拥有八个主题园区，包括美国小镇大街、幻想世界、明日世界、探险世界、反斗奇兵大本营、灰熊山谷、迷离庄园和魔雪奇缘世界。宾客在这个奇妙王国里，可置身喜爱的迪士尼故事中，与迪士尼朋友见面。并可尽情探索八个主题园区，打卡全新地标“奇妙梦想城堡”及“夜间城堡多媒体光影汇演”，非常震撼有冲击力。</w:t>
            </w:r>
          </w:p>
          <w:p w14:paraId="53B8DCA6">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drawing>
                <wp:anchor distT="0" distB="0" distL="114300" distR="114300" simplePos="0" relativeHeight="251666432" behindDoc="1" locked="0" layoutInCell="1" allowOverlap="1">
                  <wp:simplePos x="0" y="0"/>
                  <wp:positionH relativeFrom="column">
                    <wp:posOffset>-53340</wp:posOffset>
                  </wp:positionH>
                  <wp:positionV relativeFrom="paragraph">
                    <wp:posOffset>565150</wp:posOffset>
                  </wp:positionV>
                  <wp:extent cx="6760845" cy="1473835"/>
                  <wp:effectExtent l="0" t="0" r="0" b="4445"/>
                  <wp:wrapTight wrapText="bothSides">
                    <wp:wrapPolygon>
                      <wp:start x="0" y="0"/>
                      <wp:lineTo x="0" y="21442"/>
                      <wp:lineTo x="21570" y="21442"/>
                      <wp:lineTo x="21570" y="0"/>
                      <wp:lineTo x="0" y="0"/>
                    </wp:wrapPolygon>
                  </wp:wrapTight>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12"/>
                          <a:stretch>
                            <a:fillRect/>
                          </a:stretch>
                        </pic:blipFill>
                        <pic:spPr>
                          <a:xfrm>
                            <a:off x="0" y="0"/>
                            <a:ext cx="6760845" cy="1473835"/>
                          </a:xfrm>
                          <a:prstGeom prst="rect">
                            <a:avLst/>
                          </a:prstGeom>
                        </pic:spPr>
                      </pic:pic>
                    </a:graphicData>
                  </a:graphic>
                </wp:anchor>
              </w:drawing>
            </w:r>
            <w:r>
              <w:rPr>
                <w:rFonts w:hint="eastAsia" w:ascii="微软雅黑" w:hAnsi="微软雅黑" w:eastAsia="微软雅黑" w:cs="微软雅黑"/>
                <w:b w:val="0"/>
                <w:bCs w:val="0"/>
                <w:sz w:val="21"/>
                <w:szCs w:val="21"/>
                <w:vertAlign w:val="baseline"/>
                <w:lang w:val="en-US" w:eastAsia="zh-CN"/>
              </w:rPr>
              <w:t>➢ 由于大家游玩时间和兴趣不同，</w:t>
            </w:r>
            <w:r>
              <w:rPr>
                <w:rFonts w:hint="eastAsia" w:ascii="微软雅黑" w:hAnsi="微软雅黑" w:eastAsia="微软雅黑" w:cs="微软雅黑"/>
                <w:sz w:val="21"/>
                <w:szCs w:val="21"/>
                <w:lang w:val="en-US" w:eastAsia="zh-CN"/>
              </w:rPr>
              <w:t>部分游客可能会提前离开乐园，故不安排乐园返回酒店用车，大家游玩结束后，自行乘地铁返回酒店。</w:t>
            </w:r>
          </w:p>
        </w:tc>
      </w:tr>
    </w:tbl>
    <w:p w14:paraId="00E1BFB2">
      <w:pPr>
        <w:rPr>
          <w:rFonts w:hint="eastAsia" w:eastAsiaTheme="minorEastAsia"/>
          <w:lang w:eastAsia="zh-CN"/>
        </w:rPr>
      </w:pPr>
    </w:p>
    <w:p w14:paraId="76793E3C">
      <w:pPr>
        <w:rPr>
          <w:rFonts w:hint="eastAsia" w:eastAsiaTheme="minorEastAsia"/>
          <w:lang w:eastAsia="zh-CN"/>
        </w:rPr>
      </w:pPr>
    </w:p>
    <w:p w14:paraId="3FD52B40">
      <w:pPr>
        <w:rPr>
          <w:rFonts w:hint="eastAsia" w:eastAsiaTheme="minorEastAsia"/>
          <w:lang w:eastAsia="zh-CN"/>
        </w:rPr>
      </w:pPr>
    </w:p>
    <w:p w14:paraId="2F30422E">
      <w:pPr>
        <w:rPr>
          <w:rFonts w:hint="eastAsia" w:eastAsiaTheme="minorEastAsia"/>
          <w:lang w:eastAsia="zh-CN"/>
        </w:rPr>
      </w:pPr>
    </w:p>
    <w:p w14:paraId="675E0503">
      <w:pPr>
        <w:rPr>
          <w:rFonts w:hint="eastAsia" w:eastAsiaTheme="minorEastAsia"/>
          <w:lang w:eastAsia="zh-CN"/>
        </w:rPr>
      </w:pPr>
    </w:p>
    <w:p w14:paraId="01E82D51">
      <w:pPr>
        <w:rPr>
          <w:rFonts w:hint="eastAsia" w:eastAsiaTheme="minorEastAsia"/>
          <w:lang w:eastAsia="zh-CN"/>
        </w:rPr>
      </w:pPr>
    </w:p>
    <w:tbl>
      <w:tblPr>
        <w:tblStyle w:val="5"/>
        <w:tblW w:w="10692" w:type="dxa"/>
        <w:tblInd w:w="-10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5304"/>
        <w:gridCol w:w="2448"/>
      </w:tblGrid>
      <w:tr w14:paraId="1B6C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40" w:type="dxa"/>
            <w:tcBorders>
              <w:top w:val="single" w:color="00B0F0" w:sz="4" w:space="0"/>
              <w:left w:val="single" w:color="00B0F0" w:sz="4" w:space="0"/>
              <w:bottom w:val="single" w:color="00B0F0" w:sz="4" w:space="0"/>
              <w:right w:val="single" w:color="FFFFFF" w:sz="4" w:space="0"/>
            </w:tcBorders>
            <w:shd w:val="clear" w:color="auto" w:fill="00B0F0"/>
            <w:vAlign w:val="top"/>
          </w:tcPr>
          <w:p w14:paraId="5D450D3E">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D4  香港-澳门</w:t>
            </w:r>
          </w:p>
        </w:tc>
        <w:tc>
          <w:tcPr>
            <w:tcW w:w="5304" w:type="dxa"/>
            <w:tcBorders>
              <w:top w:val="single" w:color="00B0F0" w:sz="4" w:space="0"/>
              <w:left w:val="single" w:color="FFFFFF" w:sz="4" w:space="0"/>
              <w:bottom w:val="single" w:color="00B0F0" w:sz="4" w:space="0"/>
              <w:right w:val="single" w:color="FFFFFF" w:sz="4" w:space="0"/>
            </w:tcBorders>
            <w:shd w:val="clear" w:color="auto" w:fill="00B0F0"/>
            <w:vAlign w:val="top"/>
          </w:tcPr>
          <w:p w14:paraId="544C3FDE">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早餐：酒店自助    午餐：包含    晚餐：自理</w:t>
            </w:r>
          </w:p>
        </w:tc>
        <w:tc>
          <w:tcPr>
            <w:tcW w:w="2448" w:type="dxa"/>
            <w:tcBorders>
              <w:top w:val="single" w:color="00B0F0" w:sz="4" w:space="0"/>
              <w:left w:val="single" w:color="FFFFFF" w:sz="4" w:space="0"/>
              <w:bottom w:val="single" w:color="00B0F0" w:sz="4" w:space="0"/>
              <w:right w:val="single" w:color="00B0F0" w:sz="4" w:space="0"/>
            </w:tcBorders>
            <w:shd w:val="clear" w:color="auto" w:fill="00B0F0"/>
            <w:vAlign w:val="top"/>
          </w:tcPr>
          <w:p w14:paraId="6651843B">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住宿：澳门五钻酒店</w:t>
            </w:r>
          </w:p>
        </w:tc>
      </w:tr>
      <w:tr w14:paraId="29C6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gridSpan w:val="3"/>
            <w:tcBorders>
              <w:top w:val="single" w:color="00B0F0" w:sz="4" w:space="0"/>
              <w:left w:val="single" w:color="00B0F0" w:sz="4" w:space="0"/>
              <w:bottom w:val="single" w:color="00B0F0" w:sz="4" w:space="0"/>
              <w:right w:val="single" w:color="00B0F0" w:sz="4" w:space="0"/>
            </w:tcBorders>
            <w:shd w:val="clear" w:color="auto" w:fill="auto"/>
            <w:vAlign w:val="top"/>
          </w:tcPr>
          <w:p w14:paraId="390260A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 酒店享用自助早餐后，经</w:t>
            </w:r>
            <w:r>
              <w:rPr>
                <w:rFonts w:hint="eastAsia" w:ascii="微软雅黑" w:hAnsi="微软雅黑" w:eastAsia="微软雅黑" w:cs="微软雅黑"/>
                <w:b/>
                <w:bCs/>
                <w:color w:val="FF0000"/>
                <w:sz w:val="21"/>
                <w:szCs w:val="21"/>
                <w:lang w:val="en-US" w:eastAsia="zh-CN"/>
              </w:rPr>
              <w:t>【港珠澳大桥】</w:t>
            </w:r>
            <w:r>
              <w:rPr>
                <w:rFonts w:hint="eastAsia" w:ascii="微软雅黑" w:hAnsi="微软雅黑" w:eastAsia="微软雅黑" w:cs="微软雅黑"/>
                <w:sz w:val="21"/>
                <w:szCs w:val="21"/>
                <w:lang w:val="en-US" w:eastAsia="zh-CN"/>
              </w:rPr>
              <w:t>前往澳门，港珠澳大桥是横跨香港澳门及珠海的大桥，为世界最长跨海大桥，是“现代世界七大奇迹”。它不只是一座桥，更是一座科研的“山”，屹立在东方，成为世界桥梁领域的标杆，体现了我国综合国力、自主创新能力。</w:t>
            </w:r>
          </w:p>
          <w:p w14:paraId="7893FB0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备注：澳门导游在港珠澳大桥香港口岸接团，陪同乘坐穿梭巴士一起过关前往澳门。</w:t>
            </w:r>
          </w:p>
          <w:p w14:paraId="52C8750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【大三巴牌坊】</w:t>
            </w:r>
            <w:r>
              <w:rPr>
                <w:rFonts w:hint="eastAsia" w:ascii="微软雅黑" w:hAnsi="微软雅黑" w:eastAsia="微软雅黑" w:cs="微软雅黑"/>
                <w:sz w:val="21"/>
                <w:szCs w:val="21"/>
                <w:lang w:val="en-US" w:eastAsia="zh-CN"/>
              </w:rPr>
              <w:t>是澳门最著名的历史地标，被称为澳门之魂。作为世界历史文化遗产的大三巴，是原圣保禄大教堂正面前壁的遗址，融合了东西方建筑风格，它不仅是西方文明进入中国历史的重要见证，更代表澳门的岁月沧桑。</w:t>
            </w:r>
          </w:p>
          <w:p w14:paraId="291BFE0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【大炮台】</w:t>
            </w:r>
            <w:r>
              <w:rPr>
                <w:rFonts w:hint="eastAsia" w:ascii="微软雅黑" w:hAnsi="微软雅黑" w:eastAsia="微软雅黑" w:cs="微软雅黑"/>
                <w:sz w:val="21"/>
                <w:szCs w:val="21"/>
                <w:lang w:val="en-US" w:eastAsia="zh-CN"/>
              </w:rPr>
              <w:t>位于大三巴牌坊侧，又名圣保罗炮台、中央炮台、大三巴炮，属圣保禄学院和圣保禄教堂的一部分，是中国最古老的西式炮台之一，可以在这里俯瞰澳门，观看到澳门半岛标志性建筑新葡京娱乐场。</w:t>
            </w:r>
          </w:p>
          <w:p w14:paraId="01B96443">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color w:val="FF0000"/>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【澳门博物馆】</w:t>
            </w:r>
            <w:r>
              <w:rPr>
                <w:rFonts w:hint="eastAsia" w:ascii="微软雅黑" w:hAnsi="微软雅黑" w:eastAsia="微软雅黑" w:cs="微软雅黑"/>
                <w:sz w:val="21"/>
                <w:szCs w:val="21"/>
                <w:lang w:val="en-US" w:eastAsia="zh-CN"/>
              </w:rPr>
              <w:t>是一间展示澳门历史和多元文化的博物馆，馆内的展品以其丰富和深刻的历史和文化内涵，展示数百年来澳门的历史变迁，讲述来自不同国家、具有不同文化背景的居民在澳门和平共处的生活。</w:t>
            </w:r>
          </w:p>
          <w:p w14:paraId="5F5C9182">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【金莲花广场】</w:t>
            </w:r>
            <w:r>
              <w:rPr>
                <w:rFonts w:hint="eastAsia" w:ascii="微软雅黑" w:hAnsi="微软雅黑" w:eastAsia="微软雅黑" w:cs="微软雅黑"/>
                <w:sz w:val="21"/>
                <w:szCs w:val="21"/>
                <w:lang w:val="en-US" w:eastAsia="zh-CN"/>
              </w:rPr>
              <w:t>为庆祝1999年澳门回归主权移交，国务院赠送给澳门政府一尊名为《盛世莲花》巨型雕塑。</w:t>
            </w:r>
          </w:p>
          <w:p w14:paraId="6A3CCE13">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【手工葡挞制作】</w:t>
            </w:r>
            <w:r>
              <w:rPr>
                <w:rFonts w:hint="eastAsia" w:ascii="微软雅黑" w:hAnsi="微软雅黑" w:eastAsia="微软雅黑" w:cs="微软雅黑"/>
                <w:sz w:val="21"/>
                <w:szCs w:val="21"/>
                <w:lang w:val="en-US" w:eastAsia="zh-CN"/>
              </w:rPr>
              <w:t>葡式蛋挞，又称葡式奶油塔、焦糖玛琪朵蛋挞，港澳及广东地区称葡挞，是一种小型的奶油酥皮馅饼，属于蛋挞的一种，焦黑的表面（是糖过度受热后的焦糖）为其特征。1989年，英国人安德鲁·史斗将葡挞带到澳门，改用英式奶黄馅并减少糖的用量后，随即慕名而至者众，并成为澳门著名小吃。葡挞特别讲究烘焙技巧，从打粉、成团、开酥都有严格的流程和技巧，我们将在饼师的讲解下带领下，一起制作葡式蛋挞。</w:t>
            </w:r>
          </w:p>
          <w:p w14:paraId="7AED73E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【澳门大学】</w:t>
            </w:r>
            <w:r>
              <w:rPr>
                <w:rFonts w:hint="eastAsia" w:ascii="微软雅黑" w:hAnsi="微软雅黑" w:eastAsia="微软雅黑" w:cs="微软雅黑"/>
                <w:sz w:val="21"/>
                <w:szCs w:val="21"/>
                <w:lang w:val="en-US" w:eastAsia="zh-CN"/>
              </w:rPr>
              <w:t>是一所国际化综合性公立大学，校园面积约1.09平方公里，与澳门凼仔岛一河相连，背倚葱绿秀美的横琴山，整体规划强调“以人为本”、“环境育人”，为师生提供适宜学术思考、充满田园及朴素学术特色的育人环境。</w:t>
            </w:r>
            <w:r>
              <w:rPr>
                <w:rFonts w:hint="eastAsia" w:ascii="微软雅黑" w:hAnsi="微软雅黑" w:eastAsia="微软雅黑" w:cs="微软雅黑"/>
                <w:b/>
                <w:bCs/>
                <w:color w:val="FF0000"/>
                <w:sz w:val="21"/>
                <w:szCs w:val="21"/>
                <w:lang w:val="en-US" w:eastAsia="zh-CN"/>
              </w:rPr>
              <w:t>我们将在学霸学长或学姐的带领下</w:t>
            </w:r>
            <w:r>
              <w:rPr>
                <w:rFonts w:hint="eastAsia" w:ascii="微软雅黑" w:hAnsi="微软雅黑" w:eastAsia="微软雅黑" w:cs="微软雅黑"/>
                <w:sz w:val="21"/>
                <w:szCs w:val="21"/>
                <w:lang w:val="en-US" w:eastAsia="zh-CN"/>
              </w:rPr>
              <w:t>，参观游览澳门大学，听学长学姐分享学习心得和有趣的校园生活。</w:t>
            </w:r>
          </w:p>
          <w:p w14:paraId="29C91E20">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备注：大学不是开放性景点，如果遇到政策等特殊原因不能前往，将会更改其他大学或景点代替。</w:t>
            </w:r>
          </w:p>
          <w:p w14:paraId="32FD815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b/>
                <w:bCs/>
                <w:color w:val="FF0000"/>
                <w:sz w:val="21"/>
                <w:szCs w:val="21"/>
                <w:lang w:val="en-US" w:eastAsia="zh-CN"/>
              </w:rPr>
              <w:t>【威尼斯人度假村】</w:t>
            </w:r>
            <w:r>
              <w:rPr>
                <w:rFonts w:hint="eastAsia" w:ascii="微软雅黑" w:hAnsi="微软雅黑" w:eastAsia="微软雅黑" w:cs="微软雅黑"/>
                <w:sz w:val="21"/>
                <w:szCs w:val="21"/>
                <w:lang w:val="en-US" w:eastAsia="zh-CN"/>
              </w:rPr>
              <w:t>是由美国金沙集团投资24亿美元兴建，是目前亚洲最大的度假村综合体。度假村以威尼斯水乡为主题，按1:1的比例建造，在圣马可广场上，有艺人身穿白衣假扮雕塑，还有街头艺人和马戏团的小丑表演。</w:t>
            </w:r>
          </w:p>
          <w:p w14:paraId="58971264">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drawing>
                <wp:anchor distT="0" distB="0" distL="114300" distR="114300" simplePos="0" relativeHeight="251667456" behindDoc="1" locked="0" layoutInCell="1" allowOverlap="1">
                  <wp:simplePos x="0" y="0"/>
                  <wp:positionH relativeFrom="column">
                    <wp:posOffset>-53340</wp:posOffset>
                  </wp:positionH>
                  <wp:positionV relativeFrom="paragraph">
                    <wp:posOffset>289560</wp:posOffset>
                  </wp:positionV>
                  <wp:extent cx="6768465" cy="1473835"/>
                  <wp:effectExtent l="0" t="0" r="0" b="4445"/>
                  <wp:wrapTight wrapText="bothSides">
                    <wp:wrapPolygon>
                      <wp:start x="0" y="0"/>
                      <wp:lineTo x="0" y="21442"/>
                      <wp:lineTo x="21545" y="21442"/>
                      <wp:lineTo x="21545" y="0"/>
                      <wp:lineTo x="0" y="0"/>
                    </wp:wrapPolygon>
                  </wp:wrapTight>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13"/>
                          <a:stretch>
                            <a:fillRect/>
                          </a:stretch>
                        </pic:blipFill>
                        <pic:spPr>
                          <a:xfrm>
                            <a:off x="0" y="0"/>
                            <a:ext cx="6768465" cy="1473835"/>
                          </a:xfrm>
                          <a:prstGeom prst="rect">
                            <a:avLst/>
                          </a:prstGeom>
                        </pic:spPr>
                      </pic:pic>
                    </a:graphicData>
                  </a:graphic>
                </wp:anchor>
              </w:drawing>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 游览结束后，乘车前往酒店，办理入住后自由活动，可自行前往澳门小吃街品尝当地美食。</w:t>
            </w:r>
          </w:p>
        </w:tc>
      </w:tr>
      <w:tr w14:paraId="4647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940" w:type="dxa"/>
            <w:tcBorders>
              <w:top w:val="single" w:color="00B0F0" w:sz="4" w:space="0"/>
              <w:left w:val="single" w:color="00B0F0" w:sz="4" w:space="0"/>
              <w:bottom w:val="single" w:color="00B0F0" w:sz="4" w:space="0"/>
              <w:right w:val="single" w:color="FFFFFF" w:sz="4" w:space="0"/>
            </w:tcBorders>
            <w:shd w:val="clear" w:color="auto" w:fill="00B0F0"/>
            <w:vAlign w:val="top"/>
          </w:tcPr>
          <w:p w14:paraId="6B720984">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kern w:val="2"/>
                <w:sz w:val="21"/>
                <w:szCs w:val="21"/>
                <w:vertAlign w:val="baseline"/>
                <w:lang w:val="en-US" w:eastAsia="zh-CN" w:bidi="ar-SA"/>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D5  澳门-香港-成都</w:t>
            </w:r>
          </w:p>
        </w:tc>
        <w:tc>
          <w:tcPr>
            <w:tcW w:w="7752" w:type="dxa"/>
            <w:gridSpan w:val="2"/>
            <w:tcBorders>
              <w:top w:val="single" w:color="00B0F0" w:sz="4" w:space="0"/>
              <w:left w:val="single" w:color="FFFFFF" w:sz="4" w:space="0"/>
              <w:bottom w:val="single" w:color="00B0F0" w:sz="4" w:space="0"/>
              <w:right w:val="single" w:color="00B0F0" w:sz="4" w:space="0"/>
            </w:tcBorders>
            <w:shd w:val="clear" w:color="auto" w:fill="00B0F0"/>
            <w:vAlign w:val="top"/>
          </w:tcPr>
          <w:p w14:paraId="00272A3D">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kern w:val="2"/>
                <w:sz w:val="21"/>
                <w:szCs w:val="21"/>
                <w:vertAlign w:val="baseline"/>
                <w:lang w:val="en-US" w:eastAsia="zh-CN" w:bidi="ar-SA"/>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早餐：酒店自助    午餐：自理    晚餐：自理</w:t>
            </w:r>
          </w:p>
        </w:tc>
      </w:tr>
      <w:tr w14:paraId="6FC1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gridSpan w:val="3"/>
            <w:tcBorders>
              <w:top w:val="single" w:color="00B0F0" w:sz="4" w:space="0"/>
              <w:left w:val="single" w:color="00B0F0" w:sz="4" w:space="0"/>
              <w:bottom w:val="single" w:color="00B0F0" w:sz="4" w:space="0"/>
              <w:right w:val="single" w:color="00B0F0" w:sz="4" w:space="0"/>
            </w:tcBorders>
            <w:shd w:val="clear" w:color="auto" w:fill="auto"/>
            <w:vAlign w:val="top"/>
          </w:tcPr>
          <w:p w14:paraId="2C5EB2F9">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rPr>
              <w:t>➢ 睡到自然醒</w:t>
            </w:r>
            <w:r>
              <w:rPr>
                <w:rFonts w:hint="eastAsia" w:ascii="微软雅黑" w:hAnsi="微软雅黑" w:eastAsia="微软雅黑" w:cs="微软雅黑"/>
                <w:color w:val="auto"/>
                <w:sz w:val="21"/>
                <w:szCs w:val="21"/>
                <w:lang w:eastAsia="zh-CN"/>
              </w:rPr>
              <w:t>，酒店享用自助早餐，</w:t>
            </w:r>
            <w:r>
              <w:rPr>
                <w:rFonts w:hint="eastAsia" w:ascii="微软雅黑" w:hAnsi="微软雅黑" w:eastAsia="微软雅黑" w:cs="微软雅黑"/>
                <w:color w:val="auto"/>
                <w:sz w:val="21"/>
                <w:szCs w:val="21"/>
              </w:rPr>
              <w:t>办理退房手续后，可将行李免费寄存酒店前台</w:t>
            </w:r>
            <w:r>
              <w:rPr>
                <w:rFonts w:hint="eastAsia" w:ascii="微软雅黑" w:hAnsi="微软雅黑" w:eastAsia="微软雅黑" w:cs="微软雅黑"/>
                <w:color w:val="auto"/>
                <w:sz w:val="21"/>
                <w:szCs w:val="21"/>
                <w:lang w:eastAsia="zh-CN"/>
              </w:rPr>
              <w:t>。</w:t>
            </w:r>
          </w:p>
          <w:p w14:paraId="3F72FF61">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 随后可自行前往官也街或新马路附近采买些手信，于指定时间集合，乘车前往港珠澳大桥澳门口岸。</w:t>
            </w:r>
          </w:p>
          <w:p w14:paraId="4F5B4DA6">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color w:val="auto"/>
                <w:sz w:val="21"/>
                <w:szCs w:val="21"/>
                <w:lang w:eastAsia="zh-CN"/>
              </w:rPr>
              <w:t>➢ 澳门导游分发车票后，自行乘穿梭巴士前往港珠澳大桥香港口岸，</w:t>
            </w:r>
            <w:r>
              <w:rPr>
                <w:rFonts w:hint="eastAsia" w:ascii="微软雅黑" w:hAnsi="微软雅黑" w:eastAsia="微软雅黑" w:cs="微软雅黑"/>
                <w:color w:val="FF0000"/>
                <w:sz w:val="21"/>
                <w:szCs w:val="21"/>
                <w:lang w:eastAsia="zh-CN"/>
              </w:rPr>
              <w:t>香港导游在口岸接各位</w:t>
            </w:r>
            <w:r>
              <w:rPr>
                <w:rFonts w:hint="eastAsia" w:ascii="微软雅黑" w:hAnsi="微软雅黑" w:eastAsia="微软雅黑" w:cs="微软雅黑"/>
                <w:color w:val="auto"/>
                <w:sz w:val="21"/>
                <w:szCs w:val="21"/>
                <w:lang w:eastAsia="zh-CN"/>
              </w:rPr>
              <w:t>，转乘旅游大巴前往</w:t>
            </w:r>
          </w:p>
        </w:tc>
      </w:tr>
    </w:tbl>
    <w:p w14:paraId="75CAB07C">
      <w:pPr>
        <w:rPr>
          <w:rFonts w:hint="eastAsia" w:eastAsiaTheme="minorEastAsia"/>
          <w:lang w:eastAsia="zh-CN"/>
        </w:rPr>
      </w:pPr>
    </w:p>
    <w:p w14:paraId="72A24428">
      <w:pPr>
        <w:rPr>
          <w:rFonts w:hint="eastAsia" w:eastAsiaTheme="minorEastAsia"/>
          <w:lang w:eastAsia="zh-CN"/>
        </w:rPr>
      </w:pPr>
    </w:p>
    <w:p w14:paraId="12F13D0A">
      <w:pPr>
        <w:rPr>
          <w:rFonts w:hint="eastAsia" w:eastAsiaTheme="minorEastAsia"/>
          <w:lang w:eastAsia="zh-CN"/>
        </w:rPr>
      </w:pPr>
    </w:p>
    <w:p w14:paraId="469E068E">
      <w:pPr>
        <w:rPr>
          <w:rFonts w:hint="eastAsia" w:eastAsiaTheme="minorEastAsia"/>
          <w:lang w:eastAsia="zh-CN"/>
        </w:rPr>
      </w:pPr>
    </w:p>
    <w:p w14:paraId="2D2F4A48">
      <w:pPr>
        <w:rPr>
          <w:rFonts w:hint="eastAsia" w:eastAsiaTheme="minorEastAsia"/>
          <w:lang w:eastAsia="zh-CN"/>
        </w:rPr>
      </w:pPr>
    </w:p>
    <w:p w14:paraId="0F9F4DA6">
      <w:pPr>
        <w:rPr>
          <w:rFonts w:hint="eastAsia" w:eastAsiaTheme="minorEastAsia"/>
          <w:lang w:eastAsia="zh-CN"/>
        </w:rPr>
      </w:pPr>
    </w:p>
    <w:p w14:paraId="1296E353">
      <w:pPr>
        <w:keepNext w:val="0"/>
        <w:keepLines w:val="0"/>
        <w:pageBreakBefore w:val="0"/>
        <w:widowControl w:val="0"/>
        <w:kinsoku/>
        <w:wordWrap/>
        <w:overflowPunct/>
        <w:topLinePunct w:val="0"/>
        <w:autoSpaceDE/>
        <w:autoSpaceDN/>
        <w:bidi w:val="0"/>
        <w:adjustRightInd/>
        <w:snapToGrid/>
        <w:spacing w:line="100" w:lineRule="exact"/>
        <w:jc w:val="center"/>
        <w:textAlignment w:val="auto"/>
        <w:rPr>
          <w:rFonts w:hint="eastAsia" w:ascii="微软雅黑" w:hAnsi="微软雅黑" w:eastAsia="微软雅黑" w:cs="微软雅黑"/>
          <w:b/>
          <w:bCs/>
          <w:color w:val="1647BC"/>
          <w:sz w:val="48"/>
          <w:szCs w:val="48"/>
          <w:lang w:val="en-US" w:eastAsia="zh-CN"/>
        </w:rPr>
      </w:pPr>
    </w:p>
    <w:tbl>
      <w:tblPr>
        <w:tblStyle w:val="5"/>
        <w:tblW w:w="10692" w:type="dxa"/>
        <w:tblInd w:w="-10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2"/>
      </w:tblGrid>
      <w:tr w14:paraId="46AC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auto"/>
          </w:tcPr>
          <w:p w14:paraId="1F1E83F9">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香港机场，搭乘航班返回成都。</w:t>
            </w:r>
          </w:p>
          <w:p w14:paraId="76E28E07">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color w:val="auto"/>
                <w:sz w:val="21"/>
                <w:szCs w:val="21"/>
                <w:lang w:eastAsia="zh-CN"/>
              </w:rPr>
              <w:t>➢ 参考航班：香港</w:t>
            </w:r>
            <w:r>
              <w:rPr>
                <w:rFonts w:hint="eastAsia" w:ascii="微软雅黑" w:hAnsi="微软雅黑" w:eastAsia="微软雅黑" w:cs="微软雅黑"/>
                <w:color w:val="auto"/>
                <w:sz w:val="21"/>
                <w:szCs w:val="21"/>
              </w:rPr>
              <w:t>-成都</w:t>
            </w:r>
            <w:r>
              <w:rPr>
                <w:rFonts w:hint="eastAsia" w:ascii="微软雅黑" w:hAnsi="微软雅黑" w:eastAsia="微软雅黑" w:cs="微软雅黑"/>
                <w:color w:val="auto"/>
                <w:sz w:val="21"/>
                <w:szCs w:val="21"/>
                <w:lang w:val="en-US" w:eastAsia="zh-CN"/>
              </w:rPr>
              <w:t xml:space="preserve"> CX916</w:t>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lang w:val="en-US" w:eastAsia="zh-CN"/>
              </w:rPr>
              <w:t>19</w:t>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lang w:val="en-US" w:eastAsia="zh-CN"/>
              </w:rPr>
              <w:t>15</w:t>
            </w:r>
            <w:r>
              <w:rPr>
                <w:rFonts w:hint="eastAsia" w:ascii="微软雅黑" w:hAnsi="微软雅黑" w:eastAsia="微软雅黑" w:cs="微软雅黑"/>
                <w:color w:val="auto"/>
                <w:sz w:val="21"/>
                <w:szCs w:val="21"/>
              </w:rPr>
              <w:t>起飞</w:t>
            </w:r>
          </w:p>
        </w:tc>
      </w:tr>
      <w:tr w14:paraId="3B62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00B0F0"/>
          </w:tcPr>
          <w:p w14:paraId="18E0064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费用包含</w:t>
            </w:r>
          </w:p>
        </w:tc>
      </w:tr>
      <w:tr w14:paraId="414F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auto"/>
          </w:tcPr>
          <w:p w14:paraId="6D408192">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1、交通：成都-香港往返经济舱机票（团队票出票后不签不改不退，取消损失由游客自身负责承担）。</w:t>
            </w:r>
          </w:p>
          <w:p w14:paraId="6E79BCCC">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2、用车：当地交通车及空调旅游大巴车（根据人数安排保证一人一座）。</w:t>
            </w:r>
          </w:p>
          <w:p w14:paraId="03633EE5">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住宿：3晚香港四钻酒店+升级1晚澳门五钻酒店（香港参考：帝盛/悦来/悦品/旭逸/丝丽/如心系列等四钻酒店；澳门参考：皇都/丽景湾/濠璟/雅辰/鹭环海天等五钻酒店），楼层床型随机安排，由于此价格为旅行社向酒店采购的团队打包用房，游客如提前退房放弃等，游客自行负责房费不退。</w:t>
            </w:r>
          </w:p>
          <w:p w14:paraId="503F2A72">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4、用餐：4早4正（酒店自助早餐为房费打包，不吃不退；正餐80元/人，因港澳特殊习俗，桌餐默认10-12人一桌，座位相对紧凑，如人数超出范围菜品会相应增减。）</w:t>
            </w:r>
          </w:p>
          <w:p w14:paraId="66968939">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21"/>
                <w:szCs w:val="21"/>
                <w:lang w:val="en-US" w:eastAsia="zh-CN"/>
              </w:rPr>
              <w:t>5、保险：旅行社责任险+代购保险公司旅游人身意外伤害保险。</w:t>
            </w:r>
          </w:p>
        </w:tc>
      </w:tr>
      <w:tr w14:paraId="0E20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00B0F0"/>
          </w:tcPr>
          <w:p w14:paraId="148FDAC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费用不含</w:t>
            </w:r>
          </w:p>
        </w:tc>
      </w:tr>
      <w:tr w14:paraId="1D1A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auto"/>
          </w:tcPr>
          <w:p w14:paraId="0D7A666E">
            <w:pPr>
              <w:keepNext w:val="0"/>
              <w:keepLines w:val="0"/>
              <w:pageBreakBefore w:val="0"/>
              <w:widowControl w:val="0"/>
              <w:numPr>
                <w:ilvl w:val="0"/>
                <w:numId w:val="1"/>
              </w:numPr>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全程不含行程外及列车上的餐费；单房差、娱乐消费等一切私人性质的消费。</w:t>
            </w:r>
          </w:p>
          <w:p w14:paraId="032C157B">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2、不含因交通延误、取消等人力不可抗拒因素导致的额外增加费用。</w:t>
            </w:r>
          </w:p>
          <w:p w14:paraId="0468707A">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3、不含因旅游者违约、自身过错、自身疾病等导致的人身财产损失而额外支付的费用。</w:t>
            </w:r>
          </w:p>
          <w:p w14:paraId="16C8616A">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4、酒店需付费配套设施以及酒店所需的服务费用。</w:t>
            </w:r>
          </w:p>
          <w:p w14:paraId="0AE2A52C">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5、客人必需自备前往港澳有效证件，报名时请提供参团人的姓名、港澳通行证信息。请自行检查是否持有有效证件和签注（</w:t>
            </w:r>
            <w:r>
              <w:rPr>
                <w:rFonts w:hint="eastAsia" w:ascii="微软雅黑" w:hAnsi="微软雅黑" w:eastAsia="微软雅黑" w:cs="微软雅黑"/>
                <w:b/>
                <w:bCs/>
                <w:color w:val="FF0000"/>
                <w:sz w:val="21"/>
                <w:szCs w:val="21"/>
                <w:lang w:val="en-US" w:eastAsia="zh-CN"/>
              </w:rPr>
              <w:t>香港一次签注，澳门一次签注</w:t>
            </w:r>
            <w:r>
              <w:rPr>
                <w:rFonts w:hint="eastAsia" w:ascii="微软雅黑" w:hAnsi="微软雅黑" w:eastAsia="微软雅黑" w:cs="微软雅黑"/>
                <w:sz w:val="21"/>
                <w:szCs w:val="21"/>
                <w:lang w:val="en-US" w:eastAsia="zh-CN"/>
              </w:rPr>
              <w:t>），如因自已证件原因，不能进港或进澳，所有费用不予退还。</w:t>
            </w:r>
          </w:p>
          <w:p w14:paraId="7CFBE842">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21"/>
                <w:szCs w:val="21"/>
                <w:lang w:val="en-US" w:eastAsia="zh-CN"/>
              </w:rPr>
              <w:t>6、本次行程旅行社已代为购买旅游意外伤害保险，游客可根据自身情况，自愿自费购买其他保险（包含但不仅限于交通意外险、航空器延误险、行李丢失破损险等）</w:t>
            </w:r>
          </w:p>
        </w:tc>
      </w:tr>
      <w:tr w14:paraId="20D7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00B0F0"/>
          </w:tcPr>
          <w:p w14:paraId="0C9C1C7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出团须知</w:t>
            </w:r>
          </w:p>
        </w:tc>
      </w:tr>
      <w:tr w14:paraId="11FC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auto"/>
          </w:tcPr>
          <w:p w14:paraId="715549C7">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行程表安排提供参考（根据实际情况安排景点顺序）。旅途中请自觉遵守公共秩序，爱护文物古迹、保护环境：旅游者每到一地都应自觉爱护文物古迹和景区的花草树木，不任意在景区、古迹上乱刻乱涂；出行的游客都遇到问题都会非常焦虑，礼貌、礼让、沉着、冷静是处理任何问题的方法；</w:t>
            </w:r>
          </w:p>
          <w:p w14:paraId="4F386CC9">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因人力不可抗拒的因素（如遗失港澳通行证、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14:paraId="33D853CC">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21"/>
                <w:szCs w:val="21"/>
                <w:lang w:val="en-US" w:eastAsia="zh-CN"/>
              </w:rPr>
              <w:t>3、旅客在旅行过程中，质量投诉以在当地填写的意见反馈表及游客签字证明为准，请各位团友认真填写；如有意见请及时与我社负责人或者酒店管家联系协商解决。因游客个人原因，中途离团视为游客单方取消合同，费用不退，离团后所有的安全责任由游客本人负责，并向酒店、组团社出具书面形式的离团证明书（内容包含：离团原因，离团起讫时间、不退费用及责任自负等）。</w:t>
            </w:r>
          </w:p>
        </w:tc>
      </w:tr>
    </w:tbl>
    <w:p w14:paraId="47B82749">
      <w:pPr>
        <w:rPr>
          <w:rFonts w:hint="eastAsia" w:eastAsiaTheme="minorEastAsia"/>
          <w:lang w:eastAsia="zh-CN"/>
        </w:rPr>
      </w:pPr>
    </w:p>
    <w:p w14:paraId="1529E0D3">
      <w:pPr>
        <w:rPr>
          <w:rFonts w:hint="eastAsia" w:eastAsiaTheme="minorEastAsia"/>
          <w:lang w:eastAsia="zh-CN"/>
        </w:rPr>
      </w:pPr>
    </w:p>
    <w:p w14:paraId="6472E14F">
      <w:pPr>
        <w:rPr>
          <w:rFonts w:hint="eastAsia" w:eastAsiaTheme="minorEastAsia"/>
          <w:lang w:eastAsia="zh-CN"/>
        </w:rPr>
      </w:pPr>
    </w:p>
    <w:p w14:paraId="78D42E34">
      <w:pPr>
        <w:rPr>
          <w:rFonts w:hint="eastAsia" w:eastAsiaTheme="minorEastAsia"/>
          <w:lang w:eastAsia="zh-CN"/>
        </w:rPr>
      </w:pPr>
    </w:p>
    <w:p w14:paraId="1DC1872B">
      <w:pPr>
        <w:rPr>
          <w:rFonts w:hint="eastAsia" w:eastAsiaTheme="minorEastAsia"/>
          <w:lang w:eastAsia="zh-CN"/>
        </w:rPr>
      </w:pPr>
    </w:p>
    <w:p w14:paraId="036455C5">
      <w:pPr>
        <w:rPr>
          <w:rFonts w:hint="eastAsia" w:eastAsiaTheme="minorEastAsia"/>
          <w:lang w:eastAsia="zh-CN"/>
        </w:rPr>
      </w:pPr>
    </w:p>
    <w:tbl>
      <w:tblPr>
        <w:tblStyle w:val="5"/>
        <w:tblW w:w="10692" w:type="dxa"/>
        <w:tblInd w:w="-10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2"/>
      </w:tblGrid>
      <w:tr w14:paraId="09BF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auto"/>
          </w:tcPr>
          <w:p w14:paraId="15C0B7BF">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吃：外出旅行，注意身体健康。切勿吃生食、生海鲜、已剥皮的水果，光顾路边无牌照摊档，暴饮暴食。要多喝开水，多吃蔬果类，少抽烟，少喝酒；广东菜以清淡，精致为主，如不习惯广东口味，请提醒客人自带小吃。</w:t>
            </w:r>
          </w:p>
          <w:p w14:paraId="45C63C78">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sz w:val="21"/>
                <w:szCs w:val="21"/>
                <w:lang w:val="en-US" w:eastAsia="zh-CN"/>
              </w:rPr>
              <w:t>5、住：入住酒店时，请先检查房间用品是否齐全有无损坏，电路是否安全畅通。进出卫生间如有防滑垫时请 使用防滑垫，无防滑垫时请务必小心地滑，注意安全，谨防摔倒！出入酒店房间请随手关门，勿将衣物披在灯上或在床上抽烟，听到火警铃响，请由紧急出口迅速离开，切勿搭乘电梯。</w:t>
            </w:r>
            <w:r>
              <w:rPr>
                <w:rFonts w:hint="eastAsia" w:ascii="微软雅黑" w:hAnsi="微软雅黑" w:eastAsia="微软雅黑" w:cs="微软雅黑"/>
                <w:color w:val="FF0000"/>
                <w:sz w:val="21"/>
                <w:szCs w:val="21"/>
                <w:lang w:val="en-US" w:eastAsia="zh-CN"/>
              </w:rPr>
              <w:t>2024年4月24日起香港实施「即弃塑胶」管制法例，酒店将不再提供一次性洗漱用品（如牙刷、牙膏、剃须刀、浴帽等一次性塑料用品），请大家自带洗漱用品。</w:t>
            </w:r>
          </w:p>
          <w:p w14:paraId="3F220AF7">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行：上下旅游车时请务必注意安全、请勿拥挤，请有序排队依次上下，谨防滑倒摔伤。乘坐大巴车辆时请按规定系好安全带。患有高血压、心脏病患者，应随身携带药品及饮水，以备急需。夜间或自由活动时间自行外出，请告知同行团友，应特别注意安全，切不宜单独行动。</w:t>
            </w:r>
            <w:r>
              <w:rPr>
                <w:rFonts w:hint="eastAsia" w:ascii="微软雅黑" w:hAnsi="微软雅黑" w:eastAsia="微软雅黑" w:cs="微软雅黑"/>
                <w:color w:val="FF0000"/>
                <w:sz w:val="21"/>
                <w:szCs w:val="21"/>
                <w:lang w:val="en-US" w:eastAsia="zh-CN"/>
              </w:rPr>
              <w:t>2026年1月25日起，香港所有公共交通工具（包括巴士、的士、小巴），乘客必须佩戴安全带，违例者最高罚款5000港币及监禁3个月。</w:t>
            </w:r>
          </w:p>
          <w:p w14:paraId="26D4C5CF">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游：在控制风险的范围内选择活动项目，提倡结伴而行，末开发的景区，切不可随便进入，以免迷失方向。参加水上活动，请按规定穿着救生衣，并遵照工作人员的指导，请谨慎选择下水游泳等带有危险性的娱乐活动。</w:t>
            </w:r>
          </w:p>
          <w:p w14:paraId="4519EE4A">
            <w:pPr>
              <w:keepNext w:val="0"/>
              <w:keepLines w:val="0"/>
              <w:pageBreakBefore w:val="0"/>
              <w:widowControl w:val="0"/>
              <w:shd w:val="clear"/>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购：全程购物消费遵循自愿原则，敬请三思而后行，常有很多小的商贩，买东西一定要注意，尽量不要发生口角；行程中途经的休息站，加油站，公共卫生间等地停留仅供休息和方便之用，游客因购物产生的纠纷与本社无关。</w:t>
            </w:r>
          </w:p>
          <w:p w14:paraId="03FEC402">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21"/>
                <w:szCs w:val="21"/>
                <w:lang w:val="en-US" w:eastAsia="zh-CN"/>
              </w:rPr>
              <w:t>9、娱：旅游过程当中， 建议不要去歌舞厅等娱乐场所,以免影响休息，请妥善保管自己随身钱物。目前社会上存在着一小部分偷、诈、抢的坏人，因此，“萍水相逢”时，切忌轻易深交，勿泄“机密”，以防上当受骗造成自己经济、钱物上的损失。旅行社对游客不承担监护权；游客须自行保管自己贵重物品，如游客因自身原因遗失物品，由本人负责。旅行社及工作人员有义务协助寻找或报案，但不负责赔偿。</w:t>
            </w:r>
          </w:p>
        </w:tc>
      </w:tr>
      <w:tr w14:paraId="4ECC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00B0F0"/>
          </w:tcPr>
          <w:p w14:paraId="03D9945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特别说明</w:t>
            </w:r>
          </w:p>
        </w:tc>
      </w:tr>
      <w:tr w14:paraId="40D7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692" w:type="dxa"/>
            <w:tcBorders>
              <w:top w:val="single" w:color="00B0F0" w:sz="4" w:space="0"/>
              <w:left w:val="single" w:color="00B0F0" w:sz="4" w:space="0"/>
              <w:bottom w:val="single" w:color="00B0F0" w:sz="4" w:space="0"/>
              <w:right w:val="single" w:color="00B0F0" w:sz="4" w:space="0"/>
            </w:tcBorders>
            <w:shd w:val="clear" w:color="auto" w:fill="auto"/>
          </w:tcPr>
          <w:p w14:paraId="43C8C794">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1、健康信息本告知：行程对 75 周岁及以上或者有严重高血压、心脏病、哮喘病、有过中风病史等易突发疾病及传染病、精神疾病患者谢绝参加。旅游者出行前应确保身体健康，保证自身条件能够完成旅游活动，若因本人隐瞒身体状况或自身原因造成突发疾病导致本人或第三人受伤或死亡的，由本人承担所有责任。建议您根据自身情况备好常用药和急救药品；活动中注意保护个人的人身及财产安全，妥善保管财物。如有特殊病史，请报名时如实说明，并向医生确认您的身体能够完成此次的旅游活动。</w:t>
            </w:r>
          </w:p>
          <w:p w14:paraId="7C8305BB">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旅游意外险：旅行社为参团游客购买了旅游人身意外伤害保险。旅途中如果游客出险，所产生的费用由游客自行垫付。事后由旅行社协助向投保保险公司依据保险条例进行理赔（游客需按保险公司要求提供其所需的票据及医疗证明原件）。因游客自身疾病所产生的费用自理，不属于旅游意外伤害保险责任范畴。</w:t>
            </w:r>
          </w:p>
          <w:p w14:paraId="18BF2CA5">
            <w:pPr>
              <w:keepNext w:val="0"/>
              <w:keepLines w:val="0"/>
              <w:pageBreakBefore w:val="0"/>
              <w:widowControl w:val="0"/>
              <w:shd w:val="clear"/>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21"/>
                <w:szCs w:val="21"/>
                <w:lang w:val="en-US" w:eastAsia="zh-CN"/>
              </w:rPr>
            </w:pPr>
          </w:p>
          <w:p w14:paraId="5F7FA938">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旅游者确认：（以上资料属实，已阅读并同意本行程内容及记载的服务项目、条款及附加协议）</w:t>
            </w:r>
          </w:p>
          <w:p w14:paraId="7CCBD90A">
            <w:pPr>
              <w:keepNext w:val="0"/>
              <w:keepLines w:val="0"/>
              <w:pageBreakBefore w:val="0"/>
              <w:widowControl w:val="0"/>
              <w:shd w:val="clear"/>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sz w:val="21"/>
                <w:szCs w:val="21"/>
                <w:lang w:val="en-US" w:eastAsia="zh-CN"/>
              </w:rPr>
            </w:pPr>
          </w:p>
          <w:p w14:paraId="5385C2BC">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旅游者认可以上行程安排签字确认： 　　　                          　年         月       日</w:t>
            </w:r>
          </w:p>
          <w:p w14:paraId="52BE1672">
            <w:pPr>
              <w:keepNext w:val="0"/>
              <w:keepLines w:val="0"/>
              <w:pageBreakBefore w:val="0"/>
              <w:widowControl w:val="0"/>
              <w:shd w:val="clear"/>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sz w:val="21"/>
                <w:szCs w:val="21"/>
                <w:lang w:val="en-US" w:eastAsia="zh-CN"/>
              </w:rPr>
            </w:pPr>
          </w:p>
          <w:p w14:paraId="00C84EBC">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sz w:val="21"/>
                <w:szCs w:val="21"/>
                <w:lang w:val="en-US" w:eastAsia="zh-CN"/>
              </w:rPr>
              <w:t>旅行社签约代表（联系人）：                                          年         月       日</w:t>
            </w:r>
          </w:p>
        </w:tc>
      </w:tr>
    </w:tbl>
    <w:p w14:paraId="276704E3">
      <w:pPr>
        <w:rPr>
          <w:rFonts w:hint="eastAsia" w:eastAsiaTheme="minorEastAsia"/>
          <w:lang w:eastAsia="zh-CN"/>
        </w:rPr>
      </w:pPr>
    </w:p>
    <w:sectPr>
      <w:headerReference r:id="rId3" w:type="default"/>
      <w:pgSz w:w="11906" w:h="16838"/>
      <w:pgMar w:top="431" w:right="1800" w:bottom="217" w:left="1800" w:header="11" w:footer="15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6905C">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-1134745</wp:posOffset>
          </wp:positionH>
          <wp:positionV relativeFrom="paragraph">
            <wp:posOffset>-15240</wp:posOffset>
          </wp:positionV>
          <wp:extent cx="7558405" cy="10685780"/>
          <wp:effectExtent l="0" t="0" r="635" b="12700"/>
          <wp:wrapNone/>
          <wp:docPr id="8" name="图片 8" descr="C:/Users/Administrator/Desktop/双园双馆行程(1)/画板 6.jpg画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双园双馆行程(1)/画板 6.jpg画板 6"/>
                  <pic:cNvPicPr>
                    <a:picLocks noChangeAspect="1"/>
                  </pic:cNvPicPr>
                </pic:nvPicPr>
                <pic:blipFill>
                  <a:blip r:embed="rId1"/>
                  <a:srcRect t="8" b="8"/>
                  <a:stretch>
                    <a:fillRect/>
                  </a:stretch>
                </pic:blipFill>
                <pic:spPr>
                  <a:xfrm>
                    <a:off x="0" y="0"/>
                    <a:ext cx="7558405" cy="106857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24E855"/>
    <w:multiLevelType w:val="singleLevel"/>
    <w:tmpl w:val="CF24E85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CC93CA3"/>
    <w:rsid w:val="3DDA13ED"/>
    <w:rsid w:val="75656D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635</Words>
  <Characters>655</Characters>
  <Lines>0</Lines>
  <Paragraphs>0</Paragraphs>
  <TotalTime>4</TotalTime>
  <ScaleCrop>false</ScaleCrop>
  <LinksUpToDate>false</LinksUpToDate>
  <CharactersWithSpaces>669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2026-06-02T07:52:00Z</dcterms:created>
  <dc:creator>Administrator</dc:creator>
  <cp:lastModifiedBy>猪花lulu</cp:lastModifiedBy>
  <dcterms:modified xsi:type="dcterms:W3CDTF">2026-06-02T09:38:57Z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eyJoZGlkIjoiYjJiMTE0OWU3NGQzNjFmYjQ4NzI5YmY2MGEwNDZkZjQiLCJ1c2VySWQiOiIxMjA2MDY1MTIwIn0=</vt:lpwstr>
  </property>
  <property fmtid="{D5CDD505-2E9C-101B-9397-08002B2CF9AE}" pid="4" name="ICV">
    <vt:lpwstr>DA43F8C9795A44CAB44C8955677468E4_13</vt:lpwstr>
  </property>
</Properties>
</file>