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嘉悦之旅团队/散客确认书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泸州华侨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0830-2391122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重庆长江假日国际旅行社</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18580667825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20081020201105-A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黄金系列三峡+神农架6日游（会销）</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2020-11-05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44</w:t>
            </w:r>
          </w:p>
        </w:tc>
        <w:tc>
          <w:tcPr>
            <w:tcW w:w="2310" w:type="dxa"/>
          </w:tcPr>
          <w:p>
            <w:pPr/>
            <w:r>
              <w:rPr>
                <w:lang w:val="zh-CN"/>
                <w:rFonts w:ascii="Times New Roman" w:hAnsi="Times New Roman" w:cs="Times New Roman"/>
                <w:sz w:val="20"/>
                <w:szCs w:val="20"/>
                <w:color w:val="000000"/>
              </w:rPr>
              <w:t>1870.00</w:t>
            </w:r>
          </w:p>
        </w:tc>
        <w:tc>
          <w:tcPr>
            <w:tcW w:w="2310" w:type="dxa"/>
          </w:tcPr>
          <w:p>
            <w:pPr/>
            <w:r>
              <w:rPr>
                <w:lang w:val="zh-CN"/>
                <w:rFonts w:ascii="Times New Roman" w:hAnsi="Times New Roman" w:cs="Times New Roman"/>
                <w:sz w:val="20"/>
                <w:szCs w:val="20"/>
                <w:color w:val="000000"/>
              </w:rPr>
              <w:t>82280.00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总金额：捌万贰仟贰佰捌拾元整</w:t>
            </w:r>
          </w:p>
        </w:tc>
        <w:tc>
          <w:tcPr>
            <w:tcW w:w="2310" w:type="dxa"/>
            <w:textDirection w:val="right"/>
            <w:gridSpan w:val="3"/>
          </w:tcPr>
          <w:p>
            <w:pPr/>
            <w:r>
              <w:rPr>
                <w:lang w:val="zh-CN"/>
                <w:rFonts w:ascii="Times New Roman" w:hAnsi="Times New Roman" w:cs="Times New Roman"/>
                <w:b/>
                <w:color w:val="FF0000"/>
              </w:rPr>
              <w:t>82280.00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中国工商银行观音桥支行建新东路分理处</w:t>
            </w:r>
          </w:p>
        </w:tc>
        <w:tc>
          <w:tcPr>
            <w:tcW w:w="2310" w:type="dxa"/>
            <w:gridSpan w:val="2"/>
          </w:tcPr>
          <w:p>
            <w:pPr/>
            <w:r>
              <w:rPr>
                <w:lang w:val="zh-CN"/>
                <w:rFonts w:ascii="Times New Roman" w:hAnsi="Times New Roman" w:cs="Times New Roman"/>
                <w:sz w:val="20"/>
                <w:szCs w:val="20"/>
                <w:color w:val="000000"/>
              </w:rPr>
              <w:t>方晓华</w:t>
            </w:r>
          </w:p>
        </w:tc>
        <w:tc>
          <w:tcPr>
            <w:tcW w:w="2310" w:type="dxa"/>
            <w:gridSpan w:val="3"/>
          </w:tcPr>
          <w:p>
            <w:pPr/>
            <w:r>
              <w:rPr>
                <w:lang w:val="zh-CN"/>
                <w:rFonts w:ascii="Times New Roman" w:hAnsi="Times New Roman" w:cs="Times New Roman"/>
                <w:sz w:val="20"/>
                <w:szCs w:val="20"/>
                <w:color w:val="000000"/>
              </w:rPr>
              <w:t>6222023100044684855</w:t>
            </w:r>
          </w:p>
        </w:tc>
      </w:tr>
      <w:tr>
        <w:tc>
          <w:tcPr>
            <w:tcW w:w="2310" w:type="dxa"/>
            <w:gridSpan w:val="3"/>
          </w:tcPr>
          <w:p>
            <w:pPr/>
            <w:r>
              <w:rPr>
                <w:lang w:val="zh-CN"/>
                <w:rFonts w:ascii="Times New Roman" w:hAnsi="Times New Roman" w:cs="Times New Roman"/>
                <w:sz w:val="20"/>
                <w:szCs w:val="20"/>
                <w:color w:val="000000"/>
              </w:rPr>
              <w:t>中国建设银行重庆建新北路支行</w:t>
            </w:r>
          </w:p>
        </w:tc>
        <w:tc>
          <w:tcPr>
            <w:tcW w:w="2310" w:type="dxa"/>
            <w:gridSpan w:val="2"/>
          </w:tcPr>
          <w:p>
            <w:pPr/>
            <w:r>
              <w:rPr>
                <w:lang w:val="zh-CN"/>
                <w:rFonts w:ascii="Times New Roman" w:hAnsi="Times New Roman" w:cs="Times New Roman"/>
                <w:sz w:val="20"/>
                <w:szCs w:val="20"/>
                <w:color w:val="000000"/>
              </w:rPr>
              <w:t>方晓华</w:t>
            </w:r>
          </w:p>
        </w:tc>
        <w:tc>
          <w:tcPr>
            <w:tcW w:w="2310" w:type="dxa"/>
            <w:gridSpan w:val="3"/>
          </w:tcPr>
          <w:p>
            <w:pPr/>
            <w:r>
              <w:rPr>
                <w:lang w:val="zh-CN"/>
                <w:rFonts w:ascii="Times New Roman" w:hAnsi="Times New Roman" w:cs="Times New Roman"/>
                <w:sz w:val="20"/>
                <w:szCs w:val="20"/>
                <w:color w:val="000000"/>
              </w:rPr>
              <w:t>6217003760014766018</w:t>
            </w:r>
          </w:p>
        </w:tc>
      </w:tr>
      <w:tr>
        <w:tc>
          <w:tcPr>
            <w:tcW w:w="2310" w:type="dxa"/>
            <w:gridSpan w:val="3"/>
          </w:tcPr>
          <w:p>
            <w:pPr/>
            <w:r>
              <w:rPr>
                <w:lang w:val="zh-CN"/>
                <w:rFonts w:ascii="Times New Roman" w:hAnsi="Times New Roman" w:cs="Times New Roman"/>
                <w:sz w:val="20"/>
                <w:szCs w:val="20"/>
                <w:color w:val="000000"/>
              </w:rPr>
              <w:t>招行银行重庆渝中支行</w:t>
            </w:r>
          </w:p>
        </w:tc>
        <w:tc>
          <w:tcPr>
            <w:tcW w:w="2310" w:type="dxa"/>
            <w:gridSpan w:val="2"/>
          </w:tcPr>
          <w:p>
            <w:pPr/>
            <w:r>
              <w:rPr>
                <w:lang w:val="zh-CN"/>
                <w:rFonts w:ascii="Times New Roman" w:hAnsi="Times New Roman" w:cs="Times New Roman"/>
                <w:sz w:val="20"/>
                <w:szCs w:val="20"/>
                <w:color w:val="000000"/>
              </w:rPr>
              <w:t>方晓华</w:t>
            </w:r>
          </w:p>
        </w:tc>
        <w:tc>
          <w:tcPr>
            <w:tcW w:w="2310" w:type="dxa"/>
            <w:gridSpan w:val="3"/>
          </w:tcPr>
          <w:p>
            <w:pPr/>
            <w:r>
              <w:rPr>
                <w:lang w:val="zh-CN"/>
                <w:rFonts w:ascii="Times New Roman" w:hAnsi="Times New Roman" w:cs="Times New Roman"/>
                <w:sz w:val="20"/>
                <w:szCs w:val="20"/>
                <w:color w:val="000000"/>
              </w:rPr>
              <w:t>6225880239370951</w:t>
            </w:r>
          </w:p>
        </w:tc>
      </w:tr>
      <w:tr>
        <w:tc>
          <w:tcPr>
            <w:tcW w:w="2310" w:type="dxa"/>
            <w:gridSpan w:val="3"/>
          </w:tcPr>
          <w:p>
            <w:pPr/>
            <w:r>
              <w:rPr>
                <w:lang w:val="zh-CN"/>
                <w:rFonts w:ascii="Times New Roman" w:hAnsi="Times New Roman" w:cs="Times New Roman"/>
                <w:sz w:val="20"/>
                <w:szCs w:val="20"/>
                <w:color w:val="000000"/>
              </w:rPr>
              <w:t>光大银行重庆分行</w:t>
            </w:r>
          </w:p>
        </w:tc>
        <w:tc>
          <w:tcPr>
            <w:tcW w:w="2310" w:type="dxa"/>
            <w:gridSpan w:val="2"/>
          </w:tcPr>
          <w:p>
            <w:pPr/>
            <w:r>
              <w:rPr>
                <w:lang w:val="zh-CN"/>
                <w:rFonts w:ascii="Times New Roman" w:hAnsi="Times New Roman" w:cs="Times New Roman"/>
                <w:sz w:val="20"/>
                <w:szCs w:val="20"/>
                <w:color w:val="000000"/>
              </w:rPr>
              <w:t>重庆海外旅业（旅行社）集团有限公司</w:t>
            </w:r>
          </w:p>
        </w:tc>
        <w:tc>
          <w:tcPr>
            <w:tcW w:w="2310" w:type="dxa"/>
            <w:gridSpan w:val="3"/>
          </w:tcPr>
          <w:p>
            <w:pPr/>
            <w:r>
              <w:rPr>
                <w:lang w:val="zh-CN"/>
                <w:rFonts w:ascii="Times New Roman" w:hAnsi="Times New Roman" w:cs="Times New Roman"/>
                <w:sz w:val="20"/>
                <w:szCs w:val="20"/>
                <w:color w:val="000000"/>
              </w:rPr>
              <w:t>39440188000068728</w:t>
            </w:r>
          </w:p>
        </w:tc>
      </w:tr>
      <w:tr>
        <w:tc>
          <w:tcPr>
            <w:tcW w:w="2310" w:type="dxa"/>
            <w:gridSpan w:val="3"/>
          </w:tcPr>
          <w:p>
            <w:pPr/>
            <w:r>
              <w:rPr>
                <w:lang w:val="zh-CN"/>
                <w:rFonts w:ascii="Times New Roman" w:hAnsi="Times New Roman" w:cs="Times New Roman"/>
                <w:sz w:val="20"/>
                <w:szCs w:val="20"/>
                <w:color w:val="000000"/>
              </w:rPr>
              <w:t>民生银行重庆马家岩支行</w:t>
            </w:r>
          </w:p>
        </w:tc>
        <w:tc>
          <w:tcPr>
            <w:tcW w:w="2310" w:type="dxa"/>
            <w:gridSpan w:val="2"/>
          </w:tcPr>
          <w:p>
            <w:pPr/>
            <w:r>
              <w:rPr>
                <w:lang w:val="zh-CN"/>
                <w:rFonts w:ascii="Times New Roman" w:hAnsi="Times New Roman" w:cs="Times New Roman"/>
                <w:sz w:val="20"/>
                <w:szCs w:val="20"/>
                <w:color w:val="000000"/>
              </w:rPr>
              <w:t>重庆长江假日国际旅行社有限公司</w:t>
            </w:r>
          </w:p>
        </w:tc>
        <w:tc>
          <w:tcPr>
            <w:tcW w:w="2310" w:type="dxa"/>
            <w:gridSpan w:val="3"/>
          </w:tcPr>
          <w:p>
            <w:pPr/>
            <w:r>
              <w:rPr>
                <w:lang w:val="zh-CN"/>
                <w:rFonts w:ascii="Times New Roman" w:hAnsi="Times New Roman" w:cs="Times New Roman"/>
                <w:sz w:val="20"/>
                <w:szCs w:val="20"/>
                <w:color w:val="000000"/>
              </w:rPr>
              <w:t>696630141</w:t>
            </w:r>
          </w:p>
        </w:tc>
      </w:tr>
      <w:tr>
        <w:tc>
          <w:tcPr>
            <w:tcW w:w="2310" w:type="dxa"/>
            <w:gridSpan w:val="3"/>
          </w:tcPr>
          <w:p>
            <w:pPr/>
            <w:r>
              <w:rPr>
                <w:lang w:val="zh-CN"/>
                <w:rFonts w:ascii="Times New Roman" w:hAnsi="Times New Roman" w:cs="Times New Roman"/>
                <w:sz w:val="20"/>
                <w:szCs w:val="20"/>
                <w:color w:val="000000"/>
              </w:rPr>
              <w:t>光大银行重庆分行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78450188000077960</w:t>
            </w:r>
          </w:p>
        </w:tc>
      </w:tr>
      <w:tr>
        <w:tc>
          <w:tcPr>
            <w:tcW w:w="2310" w:type="dxa"/>
            <w:gridSpan w:val="3"/>
          </w:tcPr>
          <w:p>
            <w:pPr/>
            <w:r>
              <w:rPr>
                <w:lang w:val="zh-CN"/>
                <w:rFonts w:ascii="Times New Roman" w:hAnsi="Times New Roman" w:cs="Times New Roman"/>
                <w:sz w:val="20"/>
                <w:szCs w:val="20"/>
                <w:color w:val="000000"/>
              </w:rPr>
              <w:t>民生银行重庆分行</w:t>
            </w:r>
          </w:p>
        </w:tc>
        <w:tc>
          <w:tcPr>
            <w:tcW w:w="2310" w:type="dxa"/>
            <w:gridSpan w:val="2"/>
          </w:tcPr>
          <w:p>
            <w:pPr/>
            <w:r>
              <w:rPr>
                <w:lang w:val="zh-CN"/>
                <w:rFonts w:ascii="Times New Roman" w:hAnsi="Times New Roman" w:cs="Times New Roman"/>
                <w:sz w:val="20"/>
                <w:szCs w:val="20"/>
                <w:color w:val="000000"/>
              </w:rPr>
              <w:t>重庆乐畅国际旅行社有限公司</w:t>
            </w:r>
          </w:p>
        </w:tc>
        <w:tc>
          <w:tcPr>
            <w:tcW w:w="2310" w:type="dxa"/>
            <w:gridSpan w:val="3"/>
          </w:tcPr>
          <w:p>
            <w:pPr/>
            <w:r>
              <w:rPr>
                <w:lang w:val="zh-CN"/>
                <w:rFonts w:ascii="Times New Roman" w:hAnsi="Times New Roman" w:cs="Times New Roman"/>
                <w:sz w:val="20"/>
                <w:szCs w:val="20"/>
                <w:color w:val="000000"/>
              </w:rPr>
              <w:t>694104813</w:t>
            </w:r>
          </w:p>
        </w:tc>
      </w:tr>
      <w:tr>
        <w:tc>
          <w:tcPr>
            <w:tcW w:w="2310" w:type="dxa"/>
            <w:gridSpan w:val="3"/>
          </w:tcPr>
          <w:p>
            <w:pPr/>
            <w:r>
              <w:rPr>
                <w:lang w:val="zh-CN"/>
                <w:rFonts w:ascii="Times New Roman" w:hAnsi="Times New Roman" w:cs="Times New Roman"/>
                <w:sz w:val="20"/>
                <w:szCs w:val="20"/>
                <w:color w:val="000000"/>
              </w:rPr>
              <w:t>民生银行马家岩支行</w:t>
            </w:r>
          </w:p>
        </w:tc>
        <w:tc>
          <w:tcPr>
            <w:tcW w:w="2310" w:type="dxa"/>
            <w:gridSpan w:val="2"/>
          </w:tcPr>
          <w:p>
            <w:pPr/>
            <w:r>
              <w:rPr>
                <w:lang w:val="zh-CN"/>
                <w:rFonts w:ascii="Times New Roman" w:hAnsi="Times New Roman" w:cs="Times New Roman"/>
                <w:sz w:val="20"/>
                <w:szCs w:val="20"/>
                <w:color w:val="000000"/>
              </w:rPr>
              <w:t>方晓华</w:t>
            </w:r>
          </w:p>
        </w:tc>
        <w:tc>
          <w:tcPr>
            <w:tcW w:w="2310" w:type="dxa"/>
            <w:gridSpan w:val="3"/>
          </w:tcPr>
          <w:p>
            <w:pPr/>
            <w:r>
              <w:rPr>
                <w:lang w:val="zh-CN"/>
                <w:rFonts w:ascii="Times New Roman" w:hAnsi="Times New Roman" w:cs="Times New Roman"/>
                <w:sz w:val="20"/>
                <w:szCs w:val="20"/>
                <w:color w:val="000000"/>
              </w:rPr>
              <w:t>6226181100450066</w:t>
            </w:r>
          </w:p>
        </w:tc>
      </w:tr>
      <w:tr>
        <w:tc>
          <w:tcPr>
            <w:tcW w:w="2310" w:type="dxa"/>
            <w:gridSpan w:val="3"/>
          </w:tcPr>
          <w:p>
            <w:pPr/>
            <w:r>
              <w:rPr>
                <w:lang w:val="zh-CN"/>
                <w:rFonts w:ascii="Times New Roman" w:hAnsi="Times New Roman" w:cs="Times New Roman"/>
                <w:sz w:val="20"/>
                <w:szCs w:val="20"/>
                <w:color w:val="000000"/>
              </w:rPr>
              <w:t>光大银行重庆分行</w:t>
            </w:r>
          </w:p>
        </w:tc>
        <w:tc>
          <w:tcPr>
            <w:tcW w:w="2310" w:type="dxa"/>
            <w:gridSpan w:val="2"/>
          </w:tcPr>
          <w:p>
            <w:pPr/>
            <w:r>
              <w:rPr>
                <w:lang w:val="zh-CN"/>
                <w:rFonts w:ascii="Times New Roman" w:hAnsi="Times New Roman" w:cs="Times New Roman"/>
                <w:sz w:val="20"/>
                <w:szCs w:val="20"/>
                <w:color w:val="000000"/>
              </w:rPr>
              <w:t>重庆宝中国际旅行社有限公司</w:t>
            </w:r>
          </w:p>
        </w:tc>
        <w:tc>
          <w:tcPr>
            <w:tcW w:w="2310" w:type="dxa"/>
            <w:gridSpan w:val="3"/>
          </w:tcPr>
          <w:p>
            <w:pPr/>
            <w:r>
              <w:rPr>
                <w:lang w:val="zh-CN"/>
                <w:rFonts w:ascii="Times New Roman" w:hAnsi="Times New Roman" w:cs="Times New Roman"/>
                <w:sz w:val="20"/>
                <w:szCs w:val="20"/>
                <w:color w:val="000000"/>
              </w:rPr>
              <w:t>78480188000236527</w:t>
            </w:r>
          </w:p>
        </w:tc>
      </w:tr>
      <w:tr>
        <w:tc>
          <w:tcPr>
            <w:tcW w:w="2310" w:type="dxa"/>
            <w:gridSpan w:val="3"/>
          </w:tcPr>
          <w:p>
            <w:pPr/>
            <w:r>
              <w:rPr>
                <w:lang w:val="zh-CN"/>
                <w:rFonts w:ascii="Times New Roman" w:hAnsi="Times New Roman" w:cs="Times New Roman"/>
                <w:sz w:val="20"/>
                <w:szCs w:val="20"/>
                <w:color w:val="000000"/>
              </w:rPr>
              <w:t>中信银行</w:t>
            </w:r>
          </w:p>
        </w:tc>
        <w:tc>
          <w:tcPr>
            <w:tcW w:w="2310" w:type="dxa"/>
            <w:gridSpan w:val="2"/>
          </w:tcPr>
          <w:p>
            <w:pPr/>
            <w:r>
              <w:rPr>
                <w:lang w:val="zh-CN"/>
                <w:rFonts w:ascii="Times New Roman" w:hAnsi="Times New Roman" w:cs="Times New Roman"/>
                <w:sz w:val="20"/>
                <w:szCs w:val="20"/>
                <w:color w:val="000000"/>
              </w:rPr>
              <w:t>重庆中国国际旅行社有限责任公司</w:t>
            </w:r>
          </w:p>
        </w:tc>
        <w:tc>
          <w:tcPr>
            <w:tcW w:w="2310" w:type="dxa"/>
            <w:gridSpan w:val="3"/>
          </w:tcPr>
          <w:p>
            <w:pPr/>
            <w:r>
              <w:rPr>
                <w:lang w:val="zh-CN"/>
                <w:rFonts w:ascii="Times New Roman" w:hAnsi="Times New Roman" w:cs="Times New Roman"/>
                <w:sz w:val="20"/>
                <w:szCs w:val="20"/>
                <w:color w:val="000000"/>
              </w:rPr>
              <w:t>7421110182600088711</w:t>
            </w:r>
          </w:p>
        </w:tc>
      </w:tr>
      <w:tr>
        <w:tc>
          <w:tcPr>
            <w:tcW w:w="2310" w:type="dxa"/>
            <w:gridSpan w:val="3"/>
          </w:tcPr>
          <w:p>
            <w:pPr/>
            <w:r>
              <w:rPr>
                <w:lang w:val="zh-CN"/>
                <w:rFonts w:ascii="Times New Roman" w:hAnsi="Times New Roman" w:cs="Times New Roman"/>
                <w:sz w:val="20"/>
                <w:szCs w:val="20"/>
                <w:color w:val="000000"/>
              </w:rPr>
              <w:t>中国建设银行重庆江北鲤鱼池支行</w:t>
            </w:r>
          </w:p>
        </w:tc>
        <w:tc>
          <w:tcPr>
            <w:tcW w:w="2310" w:type="dxa"/>
            <w:gridSpan w:val="2"/>
          </w:tcPr>
          <w:p>
            <w:pPr/>
            <w:r>
              <w:rPr>
                <w:lang w:val="zh-CN"/>
                <w:rFonts w:ascii="Times New Roman" w:hAnsi="Times New Roman" w:cs="Times New Roman"/>
                <w:sz w:val="20"/>
                <w:szCs w:val="20"/>
                <w:color w:val="000000"/>
              </w:rPr>
              <w:t>重庆佳程国际旅行社有限公司</w:t>
            </w:r>
          </w:p>
        </w:tc>
        <w:tc>
          <w:tcPr>
            <w:tcW w:w="2310" w:type="dxa"/>
            <w:gridSpan w:val="3"/>
          </w:tcPr>
          <w:p>
            <w:pPr/>
            <w:r>
              <w:rPr>
                <w:lang w:val="zh-CN"/>
                <w:rFonts w:ascii="Times New Roman" w:hAnsi="Times New Roman" w:cs="Times New Roman"/>
                <w:sz w:val="20"/>
                <w:szCs w:val="20"/>
                <w:color w:val="000000"/>
              </w:rPr>
              <w:t>50001063800050200654</w:t>
            </w:r>
          </w:p>
        </w:tc>
      </w:tr>
      <w:tr>
        <w:tc>
          <w:tcPr>
            <w:tcW w:w="2310" w:type="dxa"/>
            <w:gridSpan w:val="3"/>
          </w:tcPr>
          <w:p>
            <w:pPr/>
            <w:r>
              <w:rPr>
                <w:lang w:val="zh-CN"/>
                <w:rFonts w:ascii="Times New Roman" w:hAnsi="Times New Roman" w:cs="Times New Roman"/>
                <w:sz w:val="20"/>
                <w:szCs w:val="20"/>
                <w:color w:val="000000"/>
              </w:rPr>
              <w:t>民生银行北部新区支行</w:t>
            </w:r>
          </w:p>
        </w:tc>
        <w:tc>
          <w:tcPr>
            <w:tcW w:w="2310" w:type="dxa"/>
            <w:gridSpan w:val="2"/>
          </w:tcPr>
          <w:p>
            <w:pPr/>
            <w:r>
              <w:rPr>
                <w:lang w:val="zh-CN"/>
                <w:rFonts w:ascii="Times New Roman" w:hAnsi="Times New Roman" w:cs="Times New Roman"/>
                <w:sz w:val="20"/>
                <w:szCs w:val="20"/>
                <w:color w:val="000000"/>
              </w:rPr>
              <w:t>重庆九州国际旅行社有限公司</w:t>
            </w:r>
          </w:p>
        </w:tc>
        <w:tc>
          <w:tcPr>
            <w:tcW w:w="2310" w:type="dxa"/>
            <w:gridSpan w:val="3"/>
          </w:tcPr>
          <w:p>
            <w:pPr/>
            <w:r>
              <w:rPr>
                <w:lang w:val="zh-CN"/>
                <w:rFonts w:ascii="Times New Roman" w:hAnsi="Times New Roman" w:cs="Times New Roman"/>
                <w:sz w:val="20"/>
                <w:szCs w:val="20"/>
                <w:color w:val="000000"/>
              </w:rPr>
              <w:t>600610798</w:t>
            </w:r>
          </w:p>
        </w:tc>
      </w:tr>
      <w:tr>
        <w:tc>
          <w:tcPr>
            <w:tcW w:w="2310" w:type="dxa"/>
            <w:gridSpan w:val="3"/>
          </w:tcPr>
          <w:p>
            <w:pPr/>
            <w:r>
              <w:rPr>
                <w:lang w:val="zh-CN"/>
                <w:rFonts w:ascii="Times New Roman" w:hAnsi="Times New Roman" w:cs="Times New Roman"/>
                <w:sz w:val="20"/>
                <w:szCs w:val="20"/>
                <w:color w:val="000000"/>
              </w:rPr>
              <w:t>建设银行重庆渝中支行</w:t>
            </w:r>
          </w:p>
        </w:tc>
        <w:tc>
          <w:tcPr>
            <w:tcW w:w="2310" w:type="dxa"/>
            <w:gridSpan w:val="2"/>
          </w:tcPr>
          <w:p>
            <w:pPr/>
            <w:r>
              <w:rPr>
                <w:lang w:val="zh-CN"/>
                <w:rFonts w:ascii="Times New Roman" w:hAnsi="Times New Roman" w:cs="Times New Roman"/>
                <w:sz w:val="20"/>
                <w:szCs w:val="20"/>
                <w:color w:val="000000"/>
              </w:rPr>
              <w:t>重庆长江假日国际旅行社有限公司</w:t>
            </w:r>
          </w:p>
        </w:tc>
        <w:tc>
          <w:tcPr>
            <w:tcW w:w="2310" w:type="dxa"/>
            <w:gridSpan w:val="3"/>
          </w:tcPr>
          <w:p>
            <w:pPr/>
            <w:r>
              <w:rPr>
                <w:lang w:val="zh-CN"/>
                <w:rFonts w:ascii="Times New Roman" w:hAnsi="Times New Roman" w:cs="Times New Roman"/>
                <w:sz w:val="20"/>
                <w:szCs w:val="20"/>
                <w:color w:val="000000"/>
              </w:rPr>
              <w:t>50050101350000000756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2020/11/05</w:t>
            </w:r>
          </w:p>
        </w:tc>
        <w:tc>
          <w:tcPr>
            <w:tcW w:w="2310" w:type="dxa"/>
            <w:gridSpan w:val="7"/>
          </w:tcPr>
          <w:p>
            <w:pPr/>
            <w:r>
              <w:rPr>
                <w:lang w:val="zh-CN"/>
                <w:rFonts w:ascii="Times New Roman" w:hAnsi="Times New Roman" w:cs="Times New Roman"/>
                <w:b/>
                <w:color w:val="000000"/>
              </w:rPr>
              <w:t>重庆-万州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早上广汉出发前往成都火车站，乘动车赴重庆统一乘车前往丰都自选游览【丰都鬼城】，晚餐后赴平湖万州港登船，约22:00起航。参考车次：成都东-重庆北D2264（09:09-11:12）/D2238（09:18-11:20）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早餐：不含；午餐：不含；晚餐：含；住宿：游船上</w:t>
            </w:r>
          </w:p>
        </w:tc>
      </w:tr>
      <w:tr>
        <w:tc>
          <w:tcPr>
            <w:tcW w:w="2310" w:type="dxa"/>
            <w:vAlign w:val="center"/>
            <w:vMerge w:val="restart"/>
          </w:tcPr>
          <w:p>
            <w:pPr/>
            <w:r>
              <w:rPr>
                <w:lang w:val="zh-CN"/>
                <w:rFonts w:ascii="Times New Roman" w:hAnsi="Times New Roman" w:cs="Times New Roman"/>
                <w:sz w:val="20"/>
                <w:szCs w:val="20"/>
                <w:color w:val="000000"/>
              </w:rPr>
              <w:t>2020/11/06</w:t>
            </w:r>
          </w:p>
        </w:tc>
        <w:tc>
          <w:tcPr>
            <w:tcW w:w="2310" w:type="dxa"/>
            <w:gridSpan w:val="7"/>
          </w:tcPr>
          <w:p>
            <w:pPr/>
            <w:r>
              <w:rPr>
                <w:lang w:val="zh-CN"/>
                <w:rFonts w:ascii="Times New Roman" w:hAnsi="Times New Roman" w:cs="Times New Roman"/>
                <w:b/>
                <w:color w:val="000000"/>
              </w:rPr>
              <w:t>奉节-巫山(轮船)</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客在船自由活动或自选游览【白帝城】（游览不少于1.5小时），访“刘备托孤”之地，参观白帝庙、明良殿、武侯祠、观星亭、碑林等，领略山川胜景与文化交相辉映的独特魅力，约10:30时开航船观【瞿塘峡】夔门雄姿（此时可掏出最新版人民10元钞票背景图案于实际景色结合拍照留影），该峡长约8公里，在长江三峡中长度最短，却最为雄伟险峻，两岸峭壁千仞，一赤一白，红装素裹，格外分明。山体逼仄，紧束长江，山高流急，气势雄壮，以其雄伟壮观，奇、险、峻的特色著称于世，尤以号称“天下第一门”的夔门而闻名天下，在游轮甲板上可近观夔门雄姿。下午船泊巫山港，自选游览【小三峡】:由龙门峡、巴雾峡、滴翠峡组成，全长50公里。她一池碧水，奇峰壁立，竹木葱茏，猿声阵阵，饶有野趣。小三峡的特色是秀美、神奇，令陈运和为之写诗《大宁河小三峡》。有人认为它有六奇，即山奇雄、水奇清、峰奇秀、滩奇险、景奇幽、石奇美，可称为“天下奇峡”。游客可以自选游览【小小三峡】小小三峡与长江大三峡风景区毗邻，是国家重点名胜风景区，1991年评为“中国旅游胜地四十佳”。后享用晚餐。约17：00游轮驶入长江三峡第二峡---【巫峡】，其峡长谷深，迂回曲折，奇峰嵯峨连绵，烟云氤氲缭绕，景色清幽之极，如一条美不胜收千奇百怪的画廊，柳暗花明，更有闻名遐迩的神女峰令您魂牵梦萦。</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早餐：含；午餐：含；晚餐：含；住宿：游船上</w:t>
            </w:r>
          </w:p>
        </w:tc>
      </w:tr>
      <w:tr>
        <w:tc>
          <w:tcPr>
            <w:tcW w:w="2310" w:type="dxa"/>
            <w:vAlign w:val="center"/>
            <w:vMerge w:val="restart"/>
          </w:tcPr>
          <w:p>
            <w:pPr/>
            <w:r>
              <w:rPr>
                <w:lang w:val="zh-CN"/>
                <w:rFonts w:ascii="Times New Roman" w:hAnsi="Times New Roman" w:cs="Times New Roman"/>
                <w:sz w:val="20"/>
                <w:szCs w:val="20"/>
                <w:color w:val="000000"/>
              </w:rPr>
              <w:t>2020/11/07</w:t>
            </w:r>
          </w:p>
        </w:tc>
        <w:tc>
          <w:tcPr>
            <w:tcW w:w="2310" w:type="dxa"/>
            <w:gridSpan w:val="7"/>
          </w:tcPr>
          <w:p>
            <w:pPr/>
            <w:r>
              <w:rPr>
                <w:lang w:val="zh-CN"/>
                <w:rFonts w:ascii="Times New Roman" w:hAnsi="Times New Roman" w:cs="Times New Roman"/>
                <w:b/>
                <w:color w:val="000000"/>
              </w:rPr>
              <w:t>巫山-宜昌-神农架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船抵茅坪港，游客可自选游览【升船机】：承船厢可载3000吨级船舶，最大爬升吨位高达1.55万吨，最大爬升高度113米。而三峡升船机主体工程土建与部分设备安装工程，由葛洲坝集团三峡建设工程有限公司历时6年半建成，切身体验水涨船高的其妙感受，自选游览【三峡大坝】（全程游览不少于2小时），登坛子岭纵览大坝工程全景，俯望壮观的五级船闸；近坝观景台欣赏大坝宏伟气势，领略高峡平湖风光（三峡大坝电瓶车10元自愿乘坐）；参观结束后约13:00乘车赴宜昌九码头游客中心。后自由选前往神农架品质三日游，游览【天生桥风景区】：景区内天生石桥、阴潭、老君听涛、清澈的山涧、巴人的茅屋，欣赏古老的堂戏，品神农云雾茶、喝地道包谷酒，尝神农喜饼、共同构成一幅世外桃源般的画卷，后前往木鱼镇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早餐：含；午餐：含；晚餐：含；住宿：木鱼镇</w:t>
            </w:r>
          </w:p>
        </w:tc>
      </w:tr>
      <w:tr>
        <w:tc>
          <w:tcPr>
            <w:tcW w:w="2310" w:type="dxa"/>
            <w:vAlign w:val="center"/>
            <w:vMerge w:val="restart"/>
          </w:tcPr>
          <w:p>
            <w:pPr/>
            <w:r>
              <w:rPr>
                <w:lang w:val="zh-CN"/>
                <w:rFonts w:ascii="Times New Roman" w:hAnsi="Times New Roman" w:cs="Times New Roman"/>
                <w:sz w:val="20"/>
                <w:szCs w:val="20"/>
                <w:color w:val="000000"/>
              </w:rPr>
              <w:t>2020/11/08</w:t>
            </w:r>
          </w:p>
        </w:tc>
        <w:tc>
          <w:tcPr>
            <w:tcW w:w="2310" w:type="dxa"/>
            <w:gridSpan w:val="7"/>
          </w:tcPr>
          <w:p>
            <w:pPr/>
            <w:r>
              <w:rPr>
                <w:lang w:val="zh-CN"/>
                <w:rFonts w:ascii="Times New Roman" w:hAnsi="Times New Roman" w:cs="Times New Roman"/>
                <w:b/>
                <w:color w:val="000000"/>
              </w:rPr>
              <w:t>神农架(巴士)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神农架自然保护区】是具有国际重要意义的保护区，它位于湖北省巴东县、兴山县、房县三县交界处，东与湖北省保康县接壤，西与重庆市巫山县毗邻。保护区1982年省政府批准建立，1986年晋升为国家级，1990年加入联合国教科文组织"人与生物圈"保护区网。主要保护对象为北亚热带山地森林生态系统及特有、珍稀物种。【神农祭坛风景区】：整个景区分为主体祭祀区、古老植物园、千年古杉等。主体建筑为巨型牛首人身神农雕像；古老植物园内有数百种国家珍稀植物，如血皮槭、银杏、香樟，珙桐，鹅掌楸...同时可以观千年古树－－铁坚杉，此树距今已有1250多年树龄。【官门山风景区】：景区内山峰林立，林木葱郁、河水潺潺、终年不断；有生物多样性实林验室、自然生态博物馆、野人洞等人文景点9处；有兰花园、神农药园、百果园等珍稀植物保护园9处；有大鲵、雉类、中蜂等野生动物乐园5处，4D电影诠释神农架起源与变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早餐：含；午餐：含；晚餐：含；住宿：木鱼镇</w:t>
            </w:r>
          </w:p>
        </w:tc>
      </w:tr>
      <w:tr>
        <w:tc>
          <w:tcPr>
            <w:tcW w:w="2310" w:type="dxa"/>
            <w:vAlign w:val="center"/>
            <w:vMerge w:val="restart"/>
          </w:tcPr>
          <w:p>
            <w:pPr/>
            <w:r>
              <w:rPr>
                <w:lang w:val="zh-CN"/>
                <w:rFonts w:ascii="Times New Roman" w:hAnsi="Times New Roman" w:cs="Times New Roman"/>
                <w:sz w:val="20"/>
                <w:szCs w:val="20"/>
                <w:color w:val="000000"/>
              </w:rPr>
              <w:t>2020/11/09</w:t>
            </w:r>
          </w:p>
        </w:tc>
        <w:tc>
          <w:tcPr>
            <w:tcW w:w="2310" w:type="dxa"/>
            <w:gridSpan w:val="7"/>
          </w:tcPr>
          <w:p>
            <w:pPr/>
            <w:r>
              <w:rPr>
                <w:lang w:val="zh-CN"/>
                <w:rFonts w:ascii="Times New Roman" w:hAnsi="Times New Roman" w:cs="Times New Roman"/>
                <w:b/>
                <w:color w:val="000000"/>
              </w:rPr>
              <w:t>神农架-宜昌-成都(巴士)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返回宜昌，中餐后自选游览【三峡人家】（全程游览不少于4小时），三峡人家风景区，是国家AAAAA级旅游景区，湖北省宜昌市夷陵区西陵峡内，位于长江三峡中最为秀美壮丽的西陵峡境内，三峡大坝和葛洲坝之间，跨越秀丽的灯影峡两岸，面积14平方公里。三峡人家石牌之美，美在"湾急、石奇、谷幽、洞绝、泉甘"。景区包括灯影石、明月湾、灯影洞、石牌抗战纪念馆、石令牌、杨家溪、蛤蟆泉等景点。游览完后，乘车前往火车站后乘火车返回成都。参考车次：宜昌东-成都东K503次（23：52-10：50+1）</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早餐：含；午餐：含；晚餐：不含；住宿：火车上</w:t>
            </w:r>
          </w:p>
        </w:tc>
      </w:tr>
      <w:tr>
        <w:tc>
          <w:tcPr>
            <w:tcW w:w="2310" w:type="dxa"/>
            <w:vAlign w:val="center"/>
            <w:vMerge w:val="restart"/>
          </w:tcPr>
          <w:p>
            <w:pPr/>
            <w:r>
              <w:rPr>
                <w:lang w:val="zh-CN"/>
                <w:rFonts w:ascii="Times New Roman" w:hAnsi="Times New Roman" w:cs="Times New Roman"/>
                <w:sz w:val="20"/>
                <w:szCs w:val="20"/>
                <w:color w:val="000000"/>
              </w:rPr>
              <w:t>2020/11/10</w:t>
            </w:r>
          </w:p>
        </w:tc>
        <w:tc>
          <w:tcPr>
            <w:tcW w:w="2310" w:type="dxa"/>
            <w:gridSpan w:val="7"/>
          </w:tcPr>
          <w:p>
            <w:pPr/>
            <w:r>
              <w:rPr>
                <w:lang w:val="zh-CN"/>
                <w:rFonts w:ascii="Times New Roman" w:hAnsi="Times New Roman" w:cs="Times New Roman"/>
                <w:b/>
                <w:color w:val="000000"/>
              </w:rPr>
              <w:t>成都(巴士)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早上10：50分抵达成都东火车站，后乘车返回广汉，结束愉快旅程！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费用：1、交通：万州-茅坪黄金游轮；广汉-成都往返旅游大巴车（保证一人一座，包括儿童）；成都东-重庆北动车二等座；重庆-万州旅游大巴车（保证一人一座，包括儿童）；宜昌-神农架旅游大巴车-宜昌（保证一人一座，包括儿童）；宜昌东-成都东火车硬卧；。2、用餐：包含4早8正，陆地用餐为桌餐8菜一汤，船餐2早2正（自助餐）。3、住宿：黄金游轮号指定客舱床位（彩电、中央空调、独立卫生间、热水淋浴）。4、导游：中文持证导游服务（仅限行程内必含项目和正常工作时间内服务）。5、保险：旅行社责任险。未包含费用1、行程中未含餐费，导游可推荐用餐或当地餐厅自行点餐。2、旅游期间（包括自由活动期间）其它一切私人性质的自主消费，如：景区索道或手扶电梯、通讯、娱乐、洗衣或自主购物等。旅游人身意外伤害险，最低标准10元/人。3、因地震、滑坡、禁航、恶劣天气（浓雾、暴雨、狂风等）、政府禁令、交通拥堵或管制等不可抗力而引发的应由游客承担或分摊的新增费用。</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小李</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王娟</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11</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2020/11/11 16:42:40</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