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2A" w:rsidRDefault="00DE01F4" w:rsidP="009E4E2A">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美景假期团队/散客确认书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哈尔滨康华国际旅行社有限公司龙门大厦门市部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姚月</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15645661088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黑龙江省全景国际旅行社</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C1宋树壮</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15603609991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DSH06CZ200121A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上海6天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01-21 CZ6209  哈尔滨-上海 2000 2315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01-26 CZ6210  上海-哈尔滨 0635 0935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&lt;br/</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1、郅熙宏</w:t>
            </w:r>
          </w:p>
        </w:tc>
        <w:tc>
          <w:tcPr>
            <w:tcW w:w="2310" w:type="dxa"/>
            <w:vAlign w:val="center"/>
            <w:gridSpan w:val="2"/>
          </w:tcPr>
          <w:p>
            <w:pPr/>
            <w:r>
              <w:rPr>
                <w:lang w:val="zh-CN"/>
                <w:rFonts w:ascii="Times New Roman" w:hAnsi="Times New Roman" w:cs="Times New Roman"/>
                <w:sz w:val="20"/>
                <w:szCs w:val="20"/>
                <w:color w:val="000000"/>
              </w:rPr>
              <w:t>230105197506012714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2、苗慧</w:t>
            </w:r>
          </w:p>
        </w:tc>
        <w:tc>
          <w:tcPr>
            <w:tcW w:w="2310" w:type="dxa"/>
            <w:vAlign w:val="center"/>
            <w:gridSpan w:val="2"/>
          </w:tcPr>
          <w:p>
            <w:pPr/>
            <w:r>
              <w:rPr>
                <w:lang w:val="zh-CN"/>
                <w:rFonts w:ascii="Times New Roman" w:hAnsi="Times New Roman" w:cs="Times New Roman"/>
                <w:sz w:val="20"/>
                <w:szCs w:val="20"/>
                <w:color w:val="000000"/>
              </w:rPr>
              <w:t>232126198301201683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3、郅淏涵</w:t>
            </w:r>
          </w:p>
        </w:tc>
        <w:tc>
          <w:tcPr>
            <w:tcW w:w="2310" w:type="dxa"/>
            <w:vAlign w:val="center"/>
            <w:gridSpan w:val="2"/>
          </w:tcPr>
          <w:p>
            <w:pPr/>
            <w:r>
              <w:rPr>
                <w:lang w:val="zh-CN"/>
                <w:rFonts w:ascii="Times New Roman" w:hAnsi="Times New Roman" w:cs="Times New Roman"/>
                <w:sz w:val="20"/>
                <w:szCs w:val="20"/>
                <w:color w:val="000000"/>
              </w:rPr>
              <w:t>230104201104207415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4000.00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2300.00</w:t>
            </w:r>
          </w:p>
        </w:tc>
        <w:tc>
          <w:tcPr>
            <w:tcW w:w="2310" w:type="dxa"/>
          </w:tcPr>
          <w:p>
            <w:pPr/>
            <w:r>
              <w:rPr>
                <w:lang w:val="zh-CN"/>
                <w:rFonts w:ascii="Times New Roman" w:hAnsi="Times New Roman" w:cs="Times New Roman"/>
                <w:sz w:val="20"/>
                <w:szCs w:val="20"/>
                <w:color w:val="000000"/>
              </w:rPr>
              <w:t>2300.00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总金额：陆仟叁佰元整</w:t>
            </w:r>
          </w:p>
        </w:tc>
        <w:tc>
          <w:tcPr>
            <w:tcW w:w="2310" w:type="dxa"/>
            <w:textDirection w:val="right"/>
            <w:gridSpan w:val="3"/>
          </w:tcPr>
          <w:p>
            <w:pPr/>
            <w:r>
              <w:rPr>
                <w:lang w:val="zh-CN"/>
                <w:rFonts w:ascii="Times New Roman" w:hAnsi="Times New Roman" w:cs="Times New Roman"/>
                <w:b/>
                <w:color w:val="FF0000"/>
              </w:rPr>
              <w:t>6300.00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请将款项汇入我社指定账户并传汇款凭证，如向非指定或员工个人账户等汇款，不作为团款确认，且造成的损失我社概不负责！（另附盖章版公司账号）</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6214 6610 0232 7979</w:t>
            </w:r>
          </w:p>
        </w:tc>
      </w:tr>
      <w:tr>
        <w:tc>
          <w:tcPr>
            <w:tcW w:w="2310" w:type="dxa"/>
            <w:gridSpan w:val="3"/>
          </w:tcPr>
          <w:p>
            <w:pPr/>
            <w:r>
              <w:rPr>
                <w:lang w:val="zh-CN"/>
                <w:rFonts w:ascii="Times New Roman" w:hAnsi="Times New Roman" w:cs="Times New Roman"/>
                <w:sz w:val="20"/>
                <w:szCs w:val="20"/>
                <w:color w:val="000000"/>
              </w:rPr>
              <w:t>招行（金）</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6214 8545 1707 8712</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6212 2635 0003 0927 798</w:t>
            </w:r>
          </w:p>
        </w:tc>
      </w:tr>
      <w:tr>
        <w:tc>
          <w:tcPr>
            <w:tcW w:w="2310" w:type="dxa"/>
            <w:gridSpan w:val="3"/>
          </w:tcPr>
          <w:p>
            <w:pPr/>
            <w:r>
              <w:rPr>
                <w:lang w:val="zh-CN"/>
                <w:rFonts w:ascii="Times New Roman" w:hAnsi="Times New Roman" w:cs="Times New Roman"/>
                <w:sz w:val="20"/>
                <w:szCs w:val="20"/>
                <w:color w:val="000000"/>
              </w:rPr>
              <w:t>邮政银行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6236 9826 1000 0422 016</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6228 4801 7855 8890 475</w:t>
            </w:r>
          </w:p>
        </w:tc>
      </w:tr>
      <w:tr>
        <w:tc>
          <w:tcPr>
            <w:tcW w:w="2310" w:type="dxa"/>
            <w:gridSpan w:val="3"/>
          </w:tcPr>
          <w:p>
            <w:pPr/>
            <w:r>
              <w:rPr>
                <w:lang w:val="zh-CN"/>
                <w:rFonts w:ascii="Times New Roman" w:hAnsi="Times New Roman" w:cs="Times New Roman"/>
                <w:sz w:val="20"/>
                <w:szCs w:val="20"/>
                <w:color w:val="000000"/>
              </w:rPr>
              <w:t>龙江银行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6235 1821 4510 1739 455</w:t>
            </w:r>
          </w:p>
        </w:tc>
      </w:tr>
      <w:tr>
        <w:tc>
          <w:tcPr>
            <w:tcW w:w="2310" w:type="dxa"/>
            <w:gridSpan w:val="3"/>
          </w:tcPr>
          <w:p>
            <w:pPr/>
            <w:r>
              <w:rPr>
                <w:lang w:val="zh-CN"/>
                <w:rFonts w:ascii="Times New Roman" w:hAnsi="Times New Roman" w:cs="Times New Roman"/>
                <w:sz w:val="20"/>
                <w:szCs w:val="20"/>
                <w:color w:val="000000"/>
              </w:rPr>
              <w:t>交通银行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6222 6203 6001 1069 483</w:t>
            </w:r>
          </w:p>
        </w:tc>
      </w:tr>
      <w:tr>
        <w:tc>
          <w:tcPr>
            <w:tcW w:w="2310" w:type="dxa"/>
            <w:gridSpan w:val="3"/>
          </w:tcPr>
          <w:p>
            <w:pPr/>
            <w:r>
              <w:rPr>
                <w:lang w:val="zh-CN"/>
                <w:rFonts w:ascii="Times New Roman" w:hAnsi="Times New Roman" w:cs="Times New Roman"/>
                <w:sz w:val="20"/>
                <w:szCs w:val="20"/>
                <w:color w:val="000000"/>
              </w:rPr>
              <w:t>哈尔滨银行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6217 5245 1130 4670 794</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6217 8553 0002 6888 317</w:t>
            </w:r>
          </w:p>
        </w:tc>
      </w:tr>
      <w:tr>
        <w:tc>
          <w:tcPr>
            <w:tcW w:w="2310" w:type="dxa"/>
            <w:gridSpan w:val="3"/>
          </w:tcPr>
          <w:p>
            <w:pPr/>
            <w:r>
              <w:rPr>
                <w:lang w:val="zh-CN"/>
                <w:rFonts w:ascii="Times New Roman" w:hAnsi="Times New Roman" w:cs="Times New Roman"/>
                <w:sz w:val="20"/>
                <w:szCs w:val="20"/>
                <w:color w:val="000000"/>
              </w:rPr>
              <w:t>农商银行（农村信用联社）</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6236 5900 0140 0944 441</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黑龙江省全景国际旅行社有限公司</w:t>
            </w:r>
          </w:p>
        </w:tc>
        <w:tc>
          <w:tcPr>
            <w:tcW w:w="2310" w:type="dxa"/>
            <w:gridSpan w:val="3"/>
          </w:tcPr>
          <w:p>
            <w:pPr/>
            <w:r>
              <w:rPr>
                <w:lang w:val="zh-CN"/>
                <w:rFonts w:ascii="Times New Roman" w:hAnsi="Times New Roman" w:cs="Times New Roman"/>
                <w:sz w:val="20"/>
                <w:szCs w:val="20"/>
                <w:color w:val="000000"/>
              </w:rPr>
              <w:t>2300 1865 1510 5050 7379</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哈尔滨市全景会议服务有限公司</w:t>
            </w:r>
          </w:p>
        </w:tc>
        <w:tc>
          <w:tcPr>
            <w:tcW w:w="2310" w:type="dxa"/>
            <w:gridSpan w:val="3"/>
          </w:tcPr>
          <w:p>
            <w:pPr/>
            <w:r>
              <w:rPr>
                <w:lang w:val="zh-CN"/>
                <w:rFonts w:ascii="Times New Roman" w:hAnsi="Times New Roman" w:cs="Times New Roman"/>
                <w:sz w:val="20"/>
                <w:szCs w:val="20"/>
                <w:color w:val="000000"/>
              </w:rPr>
              <w:t>2300 1865 1510 5051 3802</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159 4567 4254</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187 0450 9160</w:t>
            </w:r>
          </w:p>
        </w:tc>
      </w:tr>
      <w:tr>
        <w:tc>
          <w:tcPr>
            <w:tcW w:w="2310" w:type="dxa"/>
            <w:gridSpan w:val="3"/>
          </w:tcPr>
          <w:p>
            <w:pPr/>
            <w:r>
              <w:rPr>
                <w:lang w:val="zh-CN"/>
                <w:rFonts w:ascii="Times New Roman" w:hAnsi="Times New Roman" w:cs="Times New Roman"/>
                <w:sz w:val="20"/>
                <w:szCs w:val="20"/>
                <w:color w:val="000000"/>
              </w:rPr>
              <w:t>中国工商银行哈尔滨市大直支行</w:t>
            </w:r>
          </w:p>
        </w:tc>
        <w:tc>
          <w:tcPr>
            <w:tcW w:w="2310" w:type="dxa"/>
            <w:gridSpan w:val="2"/>
          </w:tcPr>
          <w:p>
            <w:pPr/>
            <w:r>
              <w:rPr>
                <w:lang w:val="zh-CN"/>
                <w:rFonts w:ascii="Times New Roman" w:hAnsi="Times New Roman" w:cs="Times New Roman"/>
                <w:sz w:val="20"/>
                <w:szCs w:val="20"/>
                <w:color w:val="000000"/>
              </w:rPr>
              <w:t>哈尔滨北国春秋旅行社有限责任公司</w:t>
            </w:r>
          </w:p>
        </w:tc>
        <w:tc>
          <w:tcPr>
            <w:tcW w:w="2310" w:type="dxa"/>
            <w:gridSpan w:val="3"/>
          </w:tcPr>
          <w:p>
            <w:pPr/>
            <w:r>
              <w:rPr>
                <w:lang w:val="zh-CN"/>
                <w:rFonts w:ascii="Times New Roman" w:hAnsi="Times New Roman" w:cs="Times New Roman"/>
                <w:sz w:val="20"/>
                <w:szCs w:val="20"/>
                <w:color w:val="000000"/>
              </w:rPr>
              <w:t>3500040109004753242</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2020/01/21</w:t>
            </w:r>
          </w:p>
        </w:tc>
        <w:tc>
          <w:tcPr>
            <w:tcW w:w="2310" w:type="dxa"/>
            <w:gridSpan w:val="7"/>
          </w:tcPr>
          <w:p>
            <w:pPr/>
            <w:r>
              <w:rPr>
                <w:lang w:val="zh-CN"/>
                <w:rFonts w:ascii="Times New Roman" w:hAnsi="Times New Roman" w:cs="Times New Roman"/>
                <w:b/>
                <w:color w:val="000000"/>
              </w:rPr>
              <w:t>哈尔滨—上海(飞机)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哈尔滨机场统一集合，乘坐飞机赴国际化大都市上海，到达后入住酒店。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早餐：自理；午餐：自理；晚餐：自理；住宿：上海</w:t>
            </w:r>
          </w:p>
        </w:tc>
      </w:tr>
      <w:tr>
        <w:tc>
          <w:tcPr>
            <w:tcW w:w="2310" w:type="dxa"/>
            <w:vAlign w:val="center"/>
            <w:vMerge w:val="restart"/>
          </w:tcPr>
          <w:p>
            <w:pPr/>
            <w:r>
              <w:rPr>
                <w:lang w:val="zh-CN"/>
                <w:rFonts w:ascii="Times New Roman" w:hAnsi="Times New Roman" w:cs="Times New Roman"/>
                <w:sz w:val="20"/>
                <w:szCs w:val="20"/>
                <w:color w:val="000000"/>
              </w:rPr>
              <w:t>2020/01/22</w:t>
            </w:r>
          </w:p>
        </w:tc>
        <w:tc>
          <w:tcPr>
            <w:tcW w:w="2310" w:type="dxa"/>
            <w:gridSpan w:val="7"/>
          </w:tcPr>
          <w:p>
            <w:pPr/>
            <w:r>
              <w:rPr>
                <w:lang w:val="zh-CN"/>
                <w:rFonts w:ascii="Times New Roman" w:hAnsi="Times New Roman" w:cs="Times New Roman"/>
                <w:b/>
                <w:color w:val="000000"/>
              </w:rPr>
              <w:t>上海—无锡(大巴)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中山陵】主轴陵园区，紫铜宝鼎，半月形广场、博爱坊、墓道、陵门、碑亭、祭堂、墓室等，缅怀孙中山先生、瞻仰陵寝所在。（周一祭堂关闭，景区只开放到陵门）。游集南京六朝文化和民俗市肆文化于一身的【夫子庙-秦淮河风光带】（不少于1.5H），文德桥，游览乌衣巷，神州第一大照壁等），感受“十里秦淮千年流淌，六朝胜地今更辉煌”。车赴无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早餐：早餐；午餐：自理；晚餐：自理；住宿：无锡</w:t>
            </w:r>
          </w:p>
        </w:tc>
      </w:tr>
      <w:tr>
        <w:tc>
          <w:tcPr>
            <w:tcW w:w="2310" w:type="dxa"/>
            <w:vAlign w:val="center"/>
            <w:vMerge w:val="restart"/>
          </w:tcPr>
          <w:p>
            <w:pPr/>
            <w:r>
              <w:rPr>
                <w:lang w:val="zh-CN"/>
                <w:rFonts w:ascii="Times New Roman" w:hAnsi="Times New Roman" w:cs="Times New Roman"/>
                <w:sz w:val="20"/>
                <w:szCs w:val="20"/>
                <w:color w:val="000000"/>
              </w:rPr>
              <w:t>2020/01/23</w:t>
            </w:r>
          </w:p>
        </w:tc>
        <w:tc>
          <w:tcPr>
            <w:tcW w:w="2310" w:type="dxa"/>
            <w:gridSpan w:val="7"/>
          </w:tcPr>
          <w:p>
            <w:pPr/>
            <w:r>
              <w:rPr>
                <w:lang w:val="zh-CN"/>
                <w:rFonts w:ascii="Times New Roman" w:hAnsi="Times New Roman" w:cs="Times New Roman"/>
                <w:b/>
                <w:color w:val="000000"/>
              </w:rPr>
              <w:t>无锡—苏州(大巴)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鼋头渚】，郭沫若云“太湖佳绝处，毕竟在鼋头”。鼋头渚风光山清水秀、浑然天成，故有太湖“第一名胜”之称。乘船渡湖，一探太湖仙岛灵秀、神幻之妙。太湖因四季不同，景致不同，春有樱花烂漫,夏有荷花舞动，秋有渔家鲜美味，冬有梅花傲雪。经太湖最美风光带——太湖十八弯，赏三万六千顷太湖旖旎风光，游览【灵山大佛】，【灵山大佛】景区三山环抱，大佛巍然屹立，气势雄伟壮观。【梵宫】它以华藏塔风格为主，糅合了中国佛教石窟艺术与传统佛教建筑元素，集世界佛教三大语系的建筑精华，多维立体地展现了佛教的神圣庄严和博大精深，美轮美奂，如法如律，庄严神圣，雄伟壮观；【九龙灌浴，花开见佛】再现了佛教故事中绚丽景观。随后乘车前往江南最美园林小城苏州，游览中国唯一的园林水乡古镇【木渎古镇】，参观国民党第二任总统严家淦的旧宅—【严家花园】，乘摇橹小船，听着姑苏十二娘的故事，循着乾隆皇帝的足迹到达乾隆六下江南必去的【虹饮山房】。晚游览【苏州古运河】，乘江南画舫船，游苏州古城，听苏州评弹，欣赏东方威尼斯之称古运河，观二十多座不同风格的苏州桥梁以及乾隆六下江南的御码头，学中国最温柔的方言——吴侬软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早餐：早餐；午餐：午餐；晚餐：自理；住宿：苏州</w:t>
            </w:r>
          </w:p>
        </w:tc>
      </w:tr>
      <w:tr>
        <w:tc>
          <w:tcPr>
            <w:tcW w:w="2310" w:type="dxa"/>
            <w:vAlign w:val="center"/>
            <w:vMerge w:val="restart"/>
          </w:tcPr>
          <w:p>
            <w:pPr/>
            <w:r>
              <w:rPr>
                <w:lang w:val="zh-CN"/>
                <w:rFonts w:ascii="Times New Roman" w:hAnsi="Times New Roman" w:cs="Times New Roman"/>
                <w:sz w:val="20"/>
                <w:szCs w:val="20"/>
                <w:color w:val="000000"/>
              </w:rPr>
              <w:t>2020/01/24</w:t>
            </w:r>
          </w:p>
        </w:tc>
        <w:tc>
          <w:tcPr>
            <w:tcW w:w="2310" w:type="dxa"/>
            <w:gridSpan w:val="7"/>
          </w:tcPr>
          <w:p>
            <w:pPr/>
            <w:r>
              <w:rPr>
                <w:lang w:val="zh-CN"/>
                <w:rFonts w:ascii="Times New Roman" w:hAnsi="Times New Roman" w:cs="Times New Roman"/>
                <w:b/>
                <w:color w:val="000000"/>
              </w:rPr>
              <w:t>苏州—杭州(大巴)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苏合盛珍珠博物馆，车赴湖州游览国内唯一入选世界文化遗产的水乡【南浔】，民国时期最富水乡，江南唯一中西建筑结合最完美的小镇，江南园林，【刘氏莲庄】；文化宝库，【钦若嘉业】；江南一巨，【石铭旧宅】；秀丽水乡，【百间楼河】。车赴杭州，【漫步西湖】：观三潭印月，阮墩环碧，孤山烟雨，漫步苏堤或白堤，晚赴西湖万亩茶园，品香茗，吃农家菜。晚欣赏斥资六千万巨资打造的“给我一天，还你千年”大型歌舞表演----【宋城千古情】《宋城千古情表演》+《宋城民间活动》，参加宋城各种民间活动，感受清明上河图的古老风韵。</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早餐：早餐；午餐：午餐；晚餐：晚餐；住宿：杭州</w:t>
            </w:r>
          </w:p>
        </w:tc>
      </w:tr>
      <w:tr>
        <w:tc>
          <w:tcPr>
            <w:tcW w:w="2310" w:type="dxa"/>
            <w:vAlign w:val="center"/>
            <w:vMerge w:val="restart"/>
          </w:tcPr>
          <w:p>
            <w:pPr/>
            <w:r>
              <w:rPr>
                <w:lang w:val="zh-CN"/>
                <w:rFonts w:ascii="Times New Roman" w:hAnsi="Times New Roman" w:cs="Times New Roman"/>
                <w:sz w:val="20"/>
                <w:szCs w:val="20"/>
                <w:color w:val="000000"/>
              </w:rPr>
              <w:t>2020/01/25</w:t>
            </w:r>
          </w:p>
        </w:tc>
        <w:tc>
          <w:tcPr>
            <w:tcW w:w="2310" w:type="dxa"/>
            <w:gridSpan w:val="7"/>
          </w:tcPr>
          <w:p>
            <w:pPr/>
            <w:r>
              <w:rPr>
                <w:lang w:val="zh-CN"/>
                <w:rFonts w:ascii="Times New Roman" w:hAnsi="Times New Roman" w:cs="Times New Roman"/>
                <w:b/>
                <w:color w:val="000000"/>
              </w:rPr>
              <w:t>杭州—上海(大巴)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来过便未曾离开的江南水乡【乌镇东栅】，在乌镇东栅，古风犹存的东、西、南、北四条老街呈“十”字交叉，构成双棋盘式河街平行、水陆相邻的古镇格局。这里的民居宅屋傍河而筑，街道两旁保存有大量明清建筑，辅以河上石桥，体现了小桥、流水、古宅的江南古镇风韵。参观锦绣天地蚕桑博览馆，蒂泰尼水晶展示馆，车赴国际化大都市—上海，游览【城隍庙商业街】坐落于上海市最为繁华的城隍庙旅游区，是上海地区有名的小吃集中营，是人们休闲、购物的好去处，参观上海自由贸易区，泰国城，游览【海陆空全方位欣赏上海夜景】，乘【黄浦江豪华游轮】赏浦东浦西外滩夜色，登【金贸大厦】，88层观光厅高空俯视大上海全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早餐：早餐；午餐：午餐；晚餐：自理；住宿：上海</w:t>
            </w:r>
          </w:p>
        </w:tc>
      </w:tr>
      <w:tr>
        <w:tc>
          <w:tcPr>
            <w:tcW w:w="2310" w:type="dxa"/>
            <w:vAlign w:val="center"/>
            <w:vMerge w:val="restart"/>
          </w:tcPr>
          <w:p>
            <w:pPr/>
            <w:r>
              <w:rPr>
                <w:lang w:val="zh-CN"/>
                <w:rFonts w:ascii="Times New Roman" w:hAnsi="Times New Roman" w:cs="Times New Roman"/>
                <w:sz w:val="20"/>
                <w:szCs w:val="20"/>
                <w:color w:val="000000"/>
              </w:rPr>
              <w:t>2020/01/26</w:t>
            </w:r>
          </w:p>
        </w:tc>
        <w:tc>
          <w:tcPr>
            <w:tcW w:w="2310" w:type="dxa"/>
            <w:gridSpan w:val="7"/>
          </w:tcPr>
          <w:p>
            <w:pPr/>
            <w:r>
              <w:rPr>
                <w:lang w:val="zh-CN"/>
                <w:rFonts w:ascii="Times New Roman" w:hAnsi="Times New Roman" w:cs="Times New Roman"/>
                <w:b/>
                <w:color w:val="000000"/>
              </w:rPr>
              <w:t>上海—哈尔滨(飞机)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早餐后，统一送团，乘坐飞机回到温馨的家 美丽的哈尔滨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早餐：早餐；午餐：自理；晚餐：自理；住宿：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用餐：全程含5早4正，早餐桌早或打包早，正餐：八菜一汤（10人一桌，人数不足，菜数量相应减少），正餐15元/人。住宿：当地舒适型酒店，整洁、干净，独卫独浴。房价按2人住1间计价。如遇单男单女，旅行社不承诺安排拼房，游客报名时请直接补交房差380元/人。     用车：当地空调旅游车，一人一个正座；具体车型以实际参团人数而定，33座以下车型均无行李箱。门票：行程所列景点第一门票（不含景点小门票、电瓶车、缆车等费用）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旅游意外险、需另付费项目及私人消费。（1）接站注意：请提供参团者手机号码。（2）送站时间：以团中客人最早航班时间为准送机。（3）换登机牌：根据航空公司要求，本人办理登机手续，所以不提供机场换登机牌服务。如需特殊服务，价格另议。（4）住宿问题：因入住宾馆登记需要，所有游客须带好身份证；因采购成本原因不会住市中心，敬请谅解。（5）退费问题：此团费为提前付费采购的团队优惠价，游客因个人原因自愿放弃用餐、住宿等，费用一概不退；若中途脱团请补交200元/人/天脱团费，请各同行和客人提前做好解释工作。</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证件使用规则（景点）：此行程为江南众多行程中最优惠报价，所有自费景点报价包含门票，司机、导游及旅行社综合服务费，故任何证件不再使用，自费项目遵从游客自愿参加原则，旅行社及导游绝不强迫，若游客参加自费项目，请按约定交费给导游随团参观，若游客不参加自费项目，请听从导游安排，在指定地点指定时间等待团队。但若游客自行使用证件进入景区，或者不按导游指定时间地点等待，我社将视为游客擅自脱团。（1）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2）文明旅游：请游客遵守该旅游行程，如遇有客人鼓动其他游客对其他客人，导游及驾驶员进行人身攻击和辱骂和拒不配合导游及驾驶员正常工作者，可劝其离团，不予后续接待。（3）脱团问题：离团前必须向导游做事先书面说明（未经导游同意擅自离团属游客先违约，我社不负责后续安全、返程机票及投诉纠纷）。脱团过程中一切责任和费用由游客自行承担，妥善保管有效证件和随身物品。（4）其他：我社对18岁以下的未成年人和60岁以上游客不承担监护权，我社不接受未满18周岁、不具备完全民事行为能力的未成年人单独参团。未成年人必须有成年人陪同方可参团。如60岁以上参团必须有40岁以下家人陪同，并同时提供健康证明。请组团社提醒客人参团前参加旅游意外险。游客在确定自己的身体健康状态适合参加本次旅游活动后方可报名参团，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旅游者须自行保管自己贵重物品，如旅游者因自身原因遗失物品，由旅游者自行负责，旅行社及导游有义务协助寻找或报案，但不负责因此而造成的一切赔偿及相关的任何投诉。</w:t>
            </w:r>
          </w:p>
        </w:tc>
      </w:tr>
      <w:tr w:rsidR="009E4E2A"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9E4E2A" w:rsidTr="00B24198">
              <w:trPr>
                <w:trHeight w:val="1824"/>
              </w:trPr>
              <w:tc>
                <w:tcPr>
                  <w:tcW w:w="4990" w:type="dxa"/>
                  <w:tcBorders>
                    <w:top w:val="nil"/>
                    <w:left w:val="nil"/>
                    <w:bottom w:val="nil"/>
                    <w:right w:val="single" w:sz="6" w:space="0" w:color="auto"/>
                  </w:tcBorders>
                </w:tcPr>
                <w:p w:rsidR="009E4E2A" w:rsidRDefault="009E4E2A" w:rsidP="00B24198">
                  <w:pPr>
                    <w:rPr>
                      <w:rFonts w:asciiTheme="minorEastAsia" w:hAnsiTheme="minorEastAsia"/>
                    </w:rPr>
                  </w:pPr>
                  <w:r>
                    <w:rPr>
                      <w:rFonts w:asciiTheme="minorEastAsia" w:hAnsiTheme="minorEastAsia" w:hint="eastAsia"/>
                    </w:rPr>
                    <w:t xml:space="preserve">    </w:t>
                  </w:r>
                </w:p>
                <w:p w:rsidR="009E4E2A" w:rsidRDefault="009E4E2A" w:rsidP="00B24198">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姚月</w:t>
                  </w:r>
                  <w:proofErr w:type="spellEnd"/>
                </w:p>
                <w:p w:rsidR="009E4E2A" w:rsidRDefault="009E4E2A" w:rsidP="00B24198">
                  <w:pPr>
                    <w:ind w:firstLine="420"/>
                    <w:rPr>
                      <w:rFonts w:asciiTheme="minorEastAsia" w:hAnsiTheme="minorEastAsia"/>
                    </w:rPr>
                  </w:pPr>
                </w:p>
                <w:p w:rsidR="009E4E2A" w:rsidRDefault="009E4E2A"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9E4E2A" w:rsidRDefault="009E4E2A" w:rsidP="00B24198">
                  <w:pPr>
                    <w:rPr>
                      <w:rFonts w:asciiTheme="minorEastAsia" w:hAnsiTheme="minorEastAsia"/>
                    </w:rPr>
                  </w:pPr>
                  <w:r>
                    <w:rPr>
                      <w:rFonts w:asciiTheme="minorEastAsia" w:hAnsiTheme="minorEastAsia" w:hint="eastAsia"/>
                    </w:rPr>
                    <w:t xml:space="preserve">    </w:t>
                  </w:r>
                </w:p>
                <w:p w:rsidR="009E4E2A" w:rsidRDefault="009E4E2A"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C1宋树壮</w:t>
                  </w:r>
                  <w:proofErr w:type="spellEnd"/>
                </w:p>
                <w:p w:rsidR="009E4E2A" w:rsidRDefault="009E4E2A" w:rsidP="00B24198">
                  <w:pPr>
                    <w:ind w:firstLine="420"/>
                    <w:rPr>
                      <w:rFonts w:asciiTheme="minorEastAsia" w:hAnsiTheme="minorEastAsia"/>
                    </w:rPr>
                  </w:pPr>
                </w:p>
                <w:p w:rsidR="009E4E2A" w:rsidRDefault="009E4E2A" w:rsidP="00B24198">
                  <w:pPr>
                    <w:rPr>
                      <w:rFonts w:asciiTheme="minorEastAsia" w:hAnsiTheme="minorEastAsia"/>
                    </w:rPr>
                  </w:pPr>
                  <w:r>
                    <w:rPr>
                      <w:rFonts w:asciiTheme="minorEastAsia" w:hAnsiTheme="minorEastAsia" w:hint="eastAsia"/>
                    </w:rPr>
                    <w:t xml:space="preserve">    </w:t>
                  </w:r>
                  <w:r w:rsidR="00ED2E8B">
                    <w:rPr>
                      <w:rFonts w:asciiTheme="minorEastAsia" w:hAnsiTheme="minorEastAsia" w:hint="eastAsia"/>
                    </w:rPr>
                    <w:t xml:space="preserve">   </w:t>
                  </w:r>
                  <w:r>
                    <w:rPr>
                      <w:rFonts w:asciiTheme="minorEastAsia" w:hAnsiTheme="minorEastAsia" w:hint="eastAsia"/>
                    </w:rPr>
                    <w:t>2020</w:t>
                  </w:r>
                  <w:r w:rsidR="00ED2E8B">
                    <w:rPr>
                      <w:rFonts w:asciiTheme="minorEastAsia" w:hAnsiTheme="minorEastAsia" w:hint="eastAsia"/>
                    </w:rPr>
                    <w:t xml:space="preserve">年 </w:t>
                  </w:r>
                  <w:r>
                    <w:rPr>
                      <w:rFonts w:asciiTheme="minorEastAsia" w:hAnsiTheme="minorEastAsia"/>
                    </w:rPr>
                    <w:t>4</w:t>
                  </w:r>
                  <w:r w:rsidR="00ED2E8B">
                    <w:rPr>
                      <w:rFonts w:asciiTheme="minorEastAsia" w:hAnsiTheme="minorEastAsia" w:hint="eastAsia"/>
                    </w:rPr>
                    <w:t xml:space="preserve">月 </w:t>
                  </w:r>
                  <w:r>
                    <w:rPr>
                      <w:rFonts w:asciiTheme="minorEastAsia" w:hAnsiTheme="minorEastAsia" w:hint="eastAsia"/>
                    </w:rPr>
                    <w:t>2</w:t>
                  </w:r>
                  <w:r w:rsidR="00ED2E8B">
                    <w:rPr>
                      <w:rFonts w:asciiTheme="minorEastAsia" w:hAnsiTheme="minorEastAsia" w:hint="eastAsia"/>
                    </w:rPr>
                    <w:t>日</w:t>
                  </w:r>
                  <w:bookmarkStart w:id="1" w:name="_GoBack"/>
                  <w:bookmarkEnd w:id="1"/>
                </w:p>
              </w:tc>
            </w:tr>
          </w:tbl>
          <w:p w:rsidR="009E4E2A" w:rsidRDefault="009E4E2A" w:rsidP="00B24198">
            <w:pPr>
              <w:rPr>
                <w:rFonts w:asciiTheme="minorEastAsia" w:hAnsiTheme="minorEastAsia"/>
              </w:rPr>
            </w:pPr>
          </w:p>
        </w:tc>
      </w:tr>
    </w:tbl>
    <w:p w:rsidR="009E4E2A" w:rsidRDefault="009E4E2A" w:rsidP="009E4E2A">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2020/4/2 20:00:03</w:t>
      </w:r>
      <w:bookmarkEnd w:id="0"/>
      <w:proofErr w:type="spellEnd"/>
    </w:p>
    <w:sectPr w:rsidR="009E4E2A" w:rsidSect="009E4E2A">
      <w:headerReference w:type="default" r:id="rId7"/>
      <w:footerReference w:type="default" r:id="rId8"/>
      <w:pgSz w:w="11906" w:h="16838"/>
      <w:pgMar w:top="1560"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21" w:rsidRDefault="00F05421">
      <w:r>
        <w:separator/>
      </w:r>
    </w:p>
  </w:endnote>
  <w:endnote w:type="continuationSeparator" w:id="0">
    <w:p w:rsidR="00F05421" w:rsidRDefault="00F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77048B" w:rsidRDefault="00DC078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77048B" w:rsidRDefault="007704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21" w:rsidRDefault="00F05421">
      <w:r>
        <w:separator/>
      </w:r>
    </w:p>
  </w:footnote>
  <w:footnote w:type="continuationSeparator" w:id="0">
    <w:p w:rsidR="00F05421" w:rsidRDefault="00F0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8B" w:rsidRDefault="00DC078A">
    <w:pPr>
      <w:pStyle w:val="a5"/>
      <w:jc w:val="both"/>
    </w:pPr>
    <w:r>
      <w:rPr>
        <w:rFonts w:hint="eastAsia"/>
        <w:noProof/>
        <w:szCs w:val="32"/>
      </w:rPr>
      <w:drawing>
        <wp:inline distT="0" distB="0" distL="114300" distR="114300">
          <wp:extent cx="6330950" cy="941070"/>
          <wp:effectExtent l="0" t="0" r="0" b="0"/>
          <wp:docPr id="6" name="图片 6" descr="E:\1郭嘉宾\LOGO全景国旅2.pngLOGO全景国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郭嘉宾\LOGO全景国旅2.pngLOGO全景国旅2"/>
                  <pic:cNvPicPr>
                    <a:picLocks noChangeAspect="1"/>
                  </pic:cNvPicPr>
                </pic:nvPicPr>
                <pic:blipFill>
                  <a:blip r:embed="rId1"/>
                  <a:stretch>
                    <a:fillRect/>
                  </a:stretch>
                </pic:blipFill>
                <pic:spPr>
                  <a:xfrm>
                    <a:off x="0" y="0"/>
                    <a:ext cx="6330950" cy="9410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75AEC"/>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7020FE"/>
    <w:rsid w:val="00713F7E"/>
    <w:rsid w:val="007210F6"/>
    <w:rsid w:val="00730F68"/>
    <w:rsid w:val="00764947"/>
    <w:rsid w:val="0077048B"/>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9E4E2A"/>
    <w:rsid w:val="00A42086"/>
    <w:rsid w:val="00A960E8"/>
    <w:rsid w:val="00AC5EDE"/>
    <w:rsid w:val="00AF0197"/>
    <w:rsid w:val="00AF12D2"/>
    <w:rsid w:val="00B10C46"/>
    <w:rsid w:val="00B17D7C"/>
    <w:rsid w:val="00B233F0"/>
    <w:rsid w:val="00B23B4C"/>
    <w:rsid w:val="00B43059"/>
    <w:rsid w:val="00B82896"/>
    <w:rsid w:val="00B8679B"/>
    <w:rsid w:val="00BE09EA"/>
    <w:rsid w:val="00BE536A"/>
    <w:rsid w:val="00BF0839"/>
    <w:rsid w:val="00C23F46"/>
    <w:rsid w:val="00C44F13"/>
    <w:rsid w:val="00C50EAC"/>
    <w:rsid w:val="00C90D0C"/>
    <w:rsid w:val="00CB1223"/>
    <w:rsid w:val="00CC3DE0"/>
    <w:rsid w:val="00CF38DF"/>
    <w:rsid w:val="00D124F1"/>
    <w:rsid w:val="00D374D6"/>
    <w:rsid w:val="00D50157"/>
    <w:rsid w:val="00D64DF4"/>
    <w:rsid w:val="00DC078A"/>
    <w:rsid w:val="00DC332F"/>
    <w:rsid w:val="00DC4B58"/>
    <w:rsid w:val="00DD50C0"/>
    <w:rsid w:val="00DD66F8"/>
    <w:rsid w:val="00DE01F4"/>
    <w:rsid w:val="00DE0DDF"/>
    <w:rsid w:val="00DE106D"/>
    <w:rsid w:val="00DE5E46"/>
    <w:rsid w:val="00E313D1"/>
    <w:rsid w:val="00E557DC"/>
    <w:rsid w:val="00E62A39"/>
    <w:rsid w:val="00E642FB"/>
    <w:rsid w:val="00E87454"/>
    <w:rsid w:val="00EA2595"/>
    <w:rsid w:val="00EC4FE6"/>
    <w:rsid w:val="00ED171D"/>
    <w:rsid w:val="00ED2E8B"/>
    <w:rsid w:val="00EE210C"/>
    <w:rsid w:val="00EE71CA"/>
    <w:rsid w:val="00EF4FE9"/>
    <w:rsid w:val="00EF717E"/>
    <w:rsid w:val="00F05421"/>
    <w:rsid w:val="00F218D1"/>
    <w:rsid w:val="00F238DD"/>
    <w:rsid w:val="00F30F11"/>
    <w:rsid w:val="00F80669"/>
    <w:rsid w:val="00FA42F5"/>
    <w:rsid w:val="00FB0B9E"/>
    <w:rsid w:val="00FE7C14"/>
    <w:rsid w:val="10691824"/>
    <w:rsid w:val="20B61E1A"/>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3D3D4-75CA-429F-91A0-0D556A8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D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79</cp:revision>
  <dcterms:created xsi:type="dcterms:W3CDTF">2018-10-31T21:48:00Z</dcterms:created>
  <dcterms:modified xsi:type="dcterms:W3CDTF">2019-01-07T00:42:00Z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