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礼遇天下团队/散客确认书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临沧假日旅行社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熊小路</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15911659074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昆明康辉旅行社有限公司永信分公司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马健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15887076931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XZ707DD210321B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西藏双飞8天（大理拉萨大理）</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2021-03-21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2021-03-27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2280.00</w:t>
            </w:r>
          </w:p>
        </w:tc>
        <w:tc>
          <w:tcPr>
            <w:tcW w:w="2310" w:type="dxa"/>
          </w:tcPr>
          <w:p>
            <w:pPr/>
            <w:r>
              <w:rPr>
                <w:lang w:val="zh-CN"/>
                <w:rFonts w:ascii="Times New Roman" w:hAnsi="Times New Roman" w:cs="Times New Roman"/>
                <w:sz w:val="20"/>
                <w:szCs w:val="20"/>
                <w:color w:val="000000"/>
              </w:rPr>
              <w:t>9120.00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总金额：玖仟壹佰贰拾元整</w:t>
            </w:r>
          </w:p>
        </w:tc>
        <w:tc>
          <w:tcPr>
            <w:tcW w:w="2310" w:type="dxa"/>
            <w:textDirection w:val="right"/>
            <w:gridSpan w:val="3"/>
          </w:tcPr>
          <w:p>
            <w:pPr/>
            <w:r>
              <w:rPr>
                <w:lang w:val="zh-CN"/>
                <w:rFonts w:ascii="Times New Roman" w:hAnsi="Times New Roman" w:cs="Times New Roman"/>
                <w:b/>
                <w:color w:val="FF0000"/>
              </w:rPr>
              <w:t>9120.00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交通银行昆明护国支行</w:t>
            </w:r>
          </w:p>
        </w:tc>
        <w:tc>
          <w:tcPr>
            <w:tcW w:w="2310" w:type="dxa"/>
            <w:gridSpan w:val="2"/>
          </w:tcPr>
          <w:p>
            <w:pPr/>
            <w:r>
              <w:rPr>
                <w:lang w:val="zh-CN"/>
                <w:rFonts w:ascii="Times New Roman" w:hAnsi="Times New Roman" w:cs="Times New Roman"/>
                <w:sz w:val="20"/>
                <w:szCs w:val="20"/>
                <w:color w:val="000000"/>
              </w:rPr>
              <w:t>昆明康辉旅行社有限公司永信分公司</w:t>
            </w:r>
          </w:p>
        </w:tc>
        <w:tc>
          <w:tcPr>
            <w:tcW w:w="2310" w:type="dxa"/>
            <w:gridSpan w:val="3"/>
          </w:tcPr>
          <w:p>
            <w:pPr/>
            <w:r>
              <w:rPr>
                <w:lang w:val="zh-CN"/>
                <w:rFonts w:ascii="Times New Roman" w:hAnsi="Times New Roman" w:cs="Times New Roman"/>
                <w:sz w:val="20"/>
                <w:szCs w:val="20"/>
                <w:color w:val="000000"/>
              </w:rPr>
              <w:t>531078157018170159205</w:t>
            </w:r>
          </w:p>
        </w:tc>
      </w:tr>
      <w:tr>
        <w:tc>
          <w:tcPr>
            <w:tcW w:w="2310" w:type="dxa"/>
            <w:gridSpan w:val="3"/>
          </w:tcPr>
          <w:p>
            <w:pPr/>
            <w:r>
              <w:rPr>
                <w:lang w:val="zh-CN"/>
                <w:rFonts w:ascii="Times New Roman" w:hAnsi="Times New Roman" w:cs="Times New Roman"/>
                <w:sz w:val="20"/>
                <w:szCs w:val="20"/>
                <w:color w:val="000000"/>
              </w:rPr>
              <w:t>中国银行昆明市北京路支行</w:t>
            </w:r>
          </w:p>
        </w:tc>
        <w:tc>
          <w:tcPr>
            <w:tcW w:w="2310" w:type="dxa"/>
            <w:gridSpan w:val="2"/>
          </w:tcPr>
          <w:p>
            <w:pPr/>
            <w:r>
              <w:rPr>
                <w:lang w:val="zh-CN"/>
                <w:rFonts w:ascii="Times New Roman" w:hAnsi="Times New Roman" w:cs="Times New Roman"/>
                <w:sz w:val="20"/>
                <w:szCs w:val="20"/>
                <w:color w:val="000000"/>
              </w:rPr>
              <w:t>昆明康辉源丰旅行社有限公司</w:t>
            </w:r>
          </w:p>
        </w:tc>
        <w:tc>
          <w:tcPr>
            <w:tcW w:w="2310" w:type="dxa"/>
            <w:gridSpan w:val="3"/>
          </w:tcPr>
          <w:p>
            <w:pPr/>
            <w:r>
              <w:rPr>
                <w:lang w:val="zh-CN"/>
                <w:rFonts w:ascii="Times New Roman" w:hAnsi="Times New Roman" w:cs="Times New Roman"/>
                <w:sz w:val="20"/>
                <w:szCs w:val="20"/>
                <w:color w:val="000000"/>
              </w:rPr>
              <w:t>135639203441</w:t>
            </w:r>
          </w:p>
        </w:tc>
      </w:tr>
      <w:tr>
        <w:tc>
          <w:tcPr>
            <w:tcW w:w="2310" w:type="dxa"/>
            <w:gridSpan w:val="3"/>
          </w:tcPr>
          <w:p>
            <w:pPr/>
            <w:r>
              <w:rPr>
                <w:lang w:val="zh-CN"/>
                <w:rFonts w:ascii="Times New Roman" w:hAnsi="Times New Roman" w:cs="Times New Roman"/>
                <w:sz w:val="20"/>
                <w:szCs w:val="20"/>
                <w:color w:val="000000"/>
              </w:rPr>
              <w:t>建行南岸学府大道支行</w:t>
            </w:r>
          </w:p>
        </w:tc>
        <w:tc>
          <w:tcPr>
            <w:tcW w:w="2310" w:type="dxa"/>
            <w:gridSpan w:val="2"/>
          </w:tcPr>
          <w:p>
            <w:pPr/>
            <w:r>
              <w:rPr>
                <w:lang w:val="zh-CN"/>
                <w:rFonts w:ascii="Times New Roman" w:hAnsi="Times New Roman" w:cs="Times New Roman"/>
                <w:sz w:val="20"/>
                <w:szCs w:val="20"/>
                <w:color w:val="000000"/>
              </w:rPr>
              <w:t>陈德华</w:t>
            </w:r>
          </w:p>
        </w:tc>
        <w:tc>
          <w:tcPr>
            <w:tcW w:w="2310" w:type="dxa"/>
            <w:gridSpan w:val="3"/>
          </w:tcPr>
          <w:p>
            <w:pPr/>
            <w:r>
              <w:rPr>
                <w:lang w:val="zh-CN"/>
                <w:rFonts w:ascii="Times New Roman" w:hAnsi="Times New Roman" w:cs="Times New Roman"/>
                <w:sz w:val="20"/>
                <w:szCs w:val="20"/>
                <w:color w:val="000000"/>
              </w:rPr>
              <w:t>6217003760112617469</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陈德华</w:t>
            </w:r>
          </w:p>
        </w:tc>
        <w:tc>
          <w:tcPr>
            <w:tcW w:w="2310" w:type="dxa"/>
            <w:gridSpan w:val="3"/>
          </w:tcPr>
          <w:p>
            <w:pPr/>
            <w:r>
              <w:rPr>
                <w:lang w:val="zh-CN"/>
                <w:rFonts w:ascii="Times New Roman" w:hAnsi="Times New Roman" w:cs="Times New Roman"/>
                <w:sz w:val="20"/>
                <w:szCs w:val="20"/>
                <w:color w:val="000000"/>
              </w:rPr>
              <w:t>666666</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陈德华</w:t>
            </w:r>
          </w:p>
        </w:tc>
        <w:tc>
          <w:tcPr>
            <w:tcW w:w="2310" w:type="dxa"/>
            <w:gridSpan w:val="3"/>
          </w:tcPr>
          <w:p>
            <w:pPr/>
            <w:r>
              <w:rPr>
                <w:lang w:val="zh-CN"/>
                <w:rFonts w:ascii="Times New Roman" w:hAnsi="Times New Roman" w:cs="Times New Roman"/>
                <w:sz w:val="20"/>
                <w:szCs w:val="20"/>
                <w:color w:val="000000"/>
              </w:rPr>
              <w:t>666666</w:t>
            </w:r>
          </w:p>
        </w:tc>
      </w:tr>
      <w:tr>
        <w:tc>
          <w:tcPr>
            <w:tcW w:w="2310" w:type="dxa"/>
            <w:gridSpan w:val="3"/>
          </w:tcPr>
          <w:p>
            <w:pPr/>
            <w:r>
              <w:rPr>
                <w:lang w:val="zh-CN"/>
                <w:rFonts w:ascii="Times New Roman" w:hAnsi="Times New Roman" w:cs="Times New Roman"/>
                <w:sz w:val="20"/>
                <w:szCs w:val="20"/>
                <w:color w:val="000000"/>
              </w:rPr>
              <w:t>招商银行昆明分行时代广场支行</w:t>
            </w:r>
          </w:p>
        </w:tc>
        <w:tc>
          <w:tcPr>
            <w:tcW w:w="2310" w:type="dxa"/>
            <w:gridSpan w:val="2"/>
          </w:tcPr>
          <w:p>
            <w:pPr/>
            <w:r>
              <w:rPr>
                <w:lang w:val="zh-CN"/>
                <w:rFonts w:ascii="Times New Roman" w:hAnsi="Times New Roman" w:cs="Times New Roman"/>
                <w:sz w:val="20"/>
                <w:szCs w:val="20"/>
                <w:color w:val="000000"/>
              </w:rPr>
              <w:t>云南山富国际旅行社有限公司</w:t>
            </w:r>
          </w:p>
        </w:tc>
        <w:tc>
          <w:tcPr>
            <w:tcW w:w="2310" w:type="dxa"/>
            <w:gridSpan w:val="3"/>
          </w:tcPr>
          <w:p>
            <w:pPr/>
            <w:r>
              <w:rPr>
                <w:lang w:val="zh-CN"/>
                <w:rFonts w:ascii="Times New Roman" w:hAnsi="Times New Roman" w:cs="Times New Roman"/>
                <w:sz w:val="20"/>
                <w:szCs w:val="20"/>
                <w:color w:val="000000"/>
              </w:rPr>
              <w:t>871906718510902</w:t>
            </w:r>
          </w:p>
        </w:tc>
      </w:tr>
      <w:tr>
        <w:tc>
          <w:tcPr>
            <w:tcW w:w="2310" w:type="dxa"/>
            <w:gridSpan w:val="3"/>
          </w:tcPr>
          <w:p>
            <w:pPr/>
            <w:r>
              <w:rPr>
                <w:lang w:val="zh-CN"/>
                <w:rFonts w:ascii="Times New Roman" w:hAnsi="Times New Roman" w:cs="Times New Roman"/>
                <w:sz w:val="20"/>
                <w:szCs w:val="20"/>
                <w:color w:val="000000"/>
              </w:rPr>
              <w:t>现金</w:t>
            </w:r>
          </w:p>
        </w:tc>
        <w:tc>
          <w:tcPr>
            <w:tcW w:w="2310" w:type="dxa"/>
            <w:gridSpan w:val="2"/>
          </w:tcPr>
          <w:p>
            <w:pPr/>
            <w:r>
              <w:rPr>
                <w:lang w:val="zh-CN"/>
                <w:rFonts w:ascii="Times New Roman" w:hAnsi="Times New Roman" w:cs="Times New Roman"/>
                <w:sz w:val="20"/>
                <w:szCs w:val="20"/>
                <w:color w:val="000000"/>
              </w:rPr>
              <w:t>日元现金</w:t>
            </w:r>
          </w:p>
        </w:tc>
        <w:tc>
          <w:tcPr>
            <w:tcW w:w="2310" w:type="dxa"/>
            <w:gridSpan w:val="3"/>
          </w:tcPr>
          <w:p>
            <w:pPr/>
            <w:r>
              <w:rPr>
                <w:lang w:val="zh-CN"/>
                <w:rFonts w:ascii="Times New Roman" w:hAnsi="Times New Roman" w:cs="Times New Roman"/>
                <w:sz w:val="20"/>
                <w:szCs w:val="20"/>
                <w:color w:val="000000"/>
              </w:rPr>
              <w:t>日元现金</w:t>
            </w:r>
          </w:p>
        </w:tc>
      </w:tr>
      <w:tr>
        <w:tc>
          <w:tcPr>
            <w:tcW w:w="2310" w:type="dxa"/>
            <w:gridSpan w:val="3"/>
          </w:tcPr>
          <w:p>
            <w:pPr/>
            <w:r>
              <w:rPr>
                <w:lang w:val="zh-CN"/>
                <w:rFonts w:ascii="Times New Roman" w:hAnsi="Times New Roman" w:cs="Times New Roman"/>
                <w:sz w:val="20"/>
                <w:szCs w:val="20"/>
                <w:color w:val="000000"/>
              </w:rPr>
              <w:t>现金</w:t>
            </w:r>
          </w:p>
        </w:tc>
        <w:tc>
          <w:tcPr>
            <w:tcW w:w="2310" w:type="dxa"/>
            <w:gridSpan w:val="2"/>
          </w:tcPr>
          <w:p>
            <w:pPr/>
            <w:r>
              <w:rPr>
                <w:lang w:val="zh-CN"/>
                <w:rFonts w:ascii="Times New Roman" w:hAnsi="Times New Roman" w:cs="Times New Roman"/>
                <w:sz w:val="20"/>
                <w:szCs w:val="20"/>
                <w:color w:val="000000"/>
              </w:rPr>
              <w:t>现金</w:t>
            </w:r>
          </w:p>
        </w:tc>
        <w:tc>
          <w:tcPr>
            <w:tcW w:w="2310" w:type="dxa"/>
            <w:gridSpan w:val="3"/>
          </w:tcPr>
          <w:p>
            <w:pPr/>
            <w:r>
              <w:rPr>
                <w:lang w:val="zh-CN"/>
                <w:rFonts w:ascii="Times New Roman" w:hAnsi="Times New Roman" w:cs="Times New Roman"/>
                <w:sz w:val="20"/>
                <w:szCs w:val="20"/>
                <w:color w:val="000000"/>
              </w:rPr>
              <w:t>111</w:t>
            </w:r>
          </w:p>
        </w:tc>
      </w:tr>
      <w:tr>
        <w:tc>
          <w:tcPr>
            <w:tcW w:w="2310" w:type="dxa"/>
            <w:gridSpan w:val="3"/>
          </w:tcPr>
          <w:p>
            <w:pPr/>
            <w:r>
              <w:rPr>
                <w:lang w:val="zh-CN"/>
                <w:rFonts w:ascii="Times New Roman" w:hAnsi="Times New Roman" w:cs="Times New Roman"/>
                <w:sz w:val="20"/>
                <w:szCs w:val="20"/>
                <w:color w:val="000000"/>
              </w:rPr>
              <w:t>中国建设银行呼伦贝尔市海拉尔河东支行</w:t>
            </w:r>
          </w:p>
        </w:tc>
        <w:tc>
          <w:tcPr>
            <w:tcW w:w="2310" w:type="dxa"/>
            <w:gridSpan w:val="2"/>
          </w:tcPr>
          <w:p>
            <w:pPr/>
            <w:r>
              <w:rPr>
                <w:lang w:val="zh-CN"/>
                <w:rFonts w:ascii="Times New Roman" w:hAnsi="Times New Roman" w:cs="Times New Roman"/>
                <w:sz w:val="20"/>
                <w:szCs w:val="20"/>
                <w:color w:val="000000"/>
              </w:rPr>
              <w:t>呼伦贝尔易游国际旅行社有限公司</w:t>
            </w:r>
          </w:p>
        </w:tc>
        <w:tc>
          <w:tcPr>
            <w:tcW w:w="2310" w:type="dxa"/>
            <w:gridSpan w:val="3"/>
          </w:tcPr>
          <w:p>
            <w:pPr/>
            <w:r>
              <w:rPr>
                <w:lang w:val="zh-CN"/>
                <w:rFonts w:ascii="Times New Roman" w:hAnsi="Times New Roman" w:cs="Times New Roman"/>
                <w:sz w:val="20"/>
                <w:szCs w:val="20"/>
                <w:color w:val="000000"/>
              </w:rPr>
              <w:t>15001616636052511967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2021/03/21</w:t>
            </w:r>
          </w:p>
        </w:tc>
        <w:tc>
          <w:tcPr>
            <w:tcW w:w="2310" w:type="dxa"/>
            <w:gridSpan w:val="7"/>
          </w:tcPr>
          <w:p>
            <w:pPr/>
            <w:r>
              <w:rPr>
                <w:lang w:val="zh-CN"/>
                <w:rFonts w:ascii="Times New Roman" w:hAnsi="Times New Roman" w:cs="Times New Roman"/>
                <w:b/>
                <w:color w:val="000000"/>
              </w:rPr>
              <w:t>昆明飞拉萨(飞机)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飞拉萨，抵达拉萨当天以适应性休息为主，没有行程安排，此日无导游。温馨提示：此日对于初次进藏的游客来说非常关键。拉萨含氧量只有内地的70%，多数客人会出现不同程度的高原反应。除了保持平常心态以外，多饮水、多吃水果、充分的休息是预防高原反应的好办法。做到不饮酒少抽烟，当日不要做任何剧烈运动，不要沐浴，多饮水勿暴食多休息，请自备维生素C和一些出门常备药品。因为全国到达的航班不统一，客人需自行乘坐机场大巴到终点站民航局（大巴车费导游现退），导游在民航局接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早餐：不含；午餐：不含；晚餐：不含；住宿：拉萨</w:t>
            </w:r>
          </w:p>
        </w:tc>
      </w:tr>
      <w:tr>
        <w:tc>
          <w:tcPr>
            <w:tcW w:w="2310" w:type="dxa"/>
            <w:vAlign w:val="center"/>
            <w:vMerge w:val="restart"/>
          </w:tcPr>
          <w:p>
            <w:pPr/>
            <w:r>
              <w:rPr>
                <w:lang w:val="zh-CN"/>
                <w:rFonts w:ascii="Times New Roman" w:hAnsi="Times New Roman" w:cs="Times New Roman"/>
                <w:sz w:val="20"/>
                <w:szCs w:val="20"/>
                <w:color w:val="000000"/>
              </w:rPr>
              <w:t>2021/03/22</w:t>
            </w:r>
          </w:p>
        </w:tc>
        <w:tc>
          <w:tcPr>
            <w:tcW w:w="2310" w:type="dxa"/>
            <w:gridSpan w:val="7"/>
          </w:tcPr>
          <w:p>
            <w:pPr/>
            <w:r>
              <w:rPr>
                <w:lang w:val="zh-CN"/>
                <w:rFonts w:ascii="Times New Roman" w:hAnsi="Times New Roman" w:cs="Times New Roman"/>
                <w:b/>
                <w:color w:val="000000"/>
              </w:rPr>
              <w:t>拉萨-米拉山口-巴松错－林芝(汽车)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由于此行程特殊，今日可能安排路早（面包、牛奶、榨菜等）。后乘车沿318国道东行，前往素有“西藏九寨沟，小瑞士”美誉之称的林芝.经达孜县、墨竹工卡县﹑到达拉萨市和林芝地区的分界线——米拉山口。备注：如林芝隧道通车了，则全程走拉林高速公路，不再经过米拉山口，请知悉！今日参观——【巴松措风景区】（游览时间不低于60分钟）。巴松措是藏传教宁玛派的圣湖，纯净碧绿的湖水在蓝天白云的映衬之下显得格外的迷人，走过浮桥登上湖心小岛来到观景台，凭栏临风登高揽胜足以让你陶间岛上古老的的错宗寺是主要的游览内容，它建于公元13世纪，是宁玛派的寺院。温馨提示：沿途风光美，但车程时间长较辛苦，导游会安排途中多次停车休息，以缓解疲劳。在米拉山口停留的时间不宜过长，以防不适。林芝三天行程导游会根据实际情况，改变景点游览顺序，但不影响游客的参观质量和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早餐：打包早餐；午餐：含；晚餐：含；住宿：林芝</w:t>
            </w:r>
          </w:p>
        </w:tc>
      </w:tr>
      <w:tr>
        <w:tc>
          <w:tcPr>
            <w:tcW w:w="2310" w:type="dxa"/>
            <w:vAlign w:val="center"/>
            <w:vMerge w:val="restart"/>
          </w:tcPr>
          <w:p>
            <w:pPr/>
            <w:r>
              <w:rPr>
                <w:lang w:val="zh-CN"/>
                <w:rFonts w:ascii="Times New Roman" w:hAnsi="Times New Roman" w:cs="Times New Roman"/>
                <w:sz w:val="20"/>
                <w:szCs w:val="20"/>
                <w:color w:val="000000"/>
              </w:rPr>
              <w:t>2021/03/23</w:t>
            </w:r>
          </w:p>
        </w:tc>
        <w:tc>
          <w:tcPr>
            <w:tcW w:w="2310" w:type="dxa"/>
            <w:gridSpan w:val="7"/>
          </w:tcPr>
          <w:p>
            <w:pPr/>
            <w:r>
              <w:rPr>
                <w:lang w:val="zh-CN"/>
                <w:rFonts w:ascii="Times New Roman" w:hAnsi="Times New Roman" w:cs="Times New Roman"/>
                <w:b/>
                <w:color w:val="000000"/>
              </w:rPr>
              <w:t>林芝-雅鲁藏布江大峡谷（车进车出）-苯日神山（车进车出）-林芝(汽车)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由于此行程特殊，今日可能安排路早（面包、牛奶、榨菜等）。早餐后游览【雅鲁藏布大峡谷风景区】（陆路车进车出，游览时间不低于120分钟）。大峡谷景区是青藏高原有着神秘色彩的地区，由于高峰和峡谷咫尺为邻，几千米的强烈地形反差，构成了宏伟的壮丽奇观。在大峡谷景区里面的观景台可远处观南迦巴瓦峰（海拔7782米），其巨大的三角形峰体终年积雪，云雾缭绕，从不轻易露出真面目，所以它也称为“羞女峰”。然后前往【苯日神山】（陆路车进车出，游览时间不低于30分钟），神山高耸入云，森林密布，四季鲜花不绝，景色各异。春临大地之际，处处芳菲春意盎然；夏季凉风习习，烟雨蒙蒙，满山杜鹃烂漫生姿；金秋万山红遍，野果飘香，令人流连忘返；冬季则雪峰皑皑，玲珑剔透如水晶与光影的世界。参观完后返回八一镇用餐，入住酒店休息。备注：1、林芝三天行程导游会根据实际情况，改变景点游览顺序，但不影响游客的参观质量和时间。2、若因雅鲁藏布大峡谷景区内部修路或其他原因而关闭景点不能前往参观，则由导游根据实际情况取消当日行程或安排其他景点参观，因为已经享受西藏A级景区门票优惠政策，也无门票可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早餐：含；午餐：含；晚餐：含；住宿：林芝八一</w:t>
            </w:r>
          </w:p>
        </w:tc>
      </w:tr>
      <w:tr>
        <w:tc>
          <w:tcPr>
            <w:tcW w:w="2310" w:type="dxa"/>
            <w:vAlign w:val="center"/>
            <w:vMerge w:val="restart"/>
          </w:tcPr>
          <w:p>
            <w:pPr/>
            <w:r>
              <w:rPr>
                <w:lang w:val="zh-CN"/>
                <w:rFonts w:ascii="Times New Roman" w:hAnsi="Times New Roman" w:cs="Times New Roman"/>
                <w:sz w:val="20"/>
                <w:szCs w:val="20"/>
                <w:color w:val="000000"/>
              </w:rPr>
              <w:t>2021/03/24</w:t>
            </w:r>
          </w:p>
        </w:tc>
        <w:tc>
          <w:tcPr>
            <w:tcW w:w="2310" w:type="dxa"/>
            <w:gridSpan w:val="7"/>
          </w:tcPr>
          <w:p>
            <w:pPr/>
            <w:r>
              <w:rPr>
                <w:lang w:val="zh-CN"/>
                <w:rFonts w:ascii="Times New Roman" w:hAnsi="Times New Roman" w:cs="Times New Roman"/>
                <w:b/>
                <w:color w:val="000000"/>
              </w:rPr>
              <w:t>林芝-嘎拉桃花村或者卡定沟-西藏民俗村—拉萨(汽车)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嘎拉桃花村】（游览时间不低于30分钟，具体花期及桃花盛开情况需视当地气候及气温而定）（备注：如嘎拉桃花村届时未开放，则更改为卡定沟参观）。桃花村位于林芝的母亲河尼洋河畔的嘎拉村，百年野生桃树林掩映着嫩绿的青稞田，圣洁的雪山倒影在明丽清澈的尼洋河中，人们称它为桃花沟，是尼洋河畔赏桃花的优势地点，林芝地区每年3、4月份都会举行大型的桃花节开幕仪式，3月和4月的林芝，寒意未尽，却已是花的海洋。接着来到藏民族生活缩影--【西藏民俗村】（又称藏民家访）或（章巴民俗村）（游览时间不低于60分钟）。到藏民家中做客，感受最原始的藏族人民生活，喝着酥油茶品着青稞酒，避开城市的喧嚣，体会心灵的沉静。了解民族文化，了解手工艺制品制作过程。然后一路沿着尼洋河返程到达工布江达用午餐。后一路沿着尼洋河返程，回到拉萨，晚餐后入住酒店休息。【温馨提示】本日车程较长，较为辛苦，用餐时间不固定，建议随身携带一些零食以防不时之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早餐：含；午餐：含；晚餐：含；住宿：拉萨</w:t>
            </w:r>
          </w:p>
        </w:tc>
      </w:tr>
      <w:tr>
        <w:tc>
          <w:tcPr>
            <w:tcW w:w="2310" w:type="dxa"/>
            <w:vAlign w:val="center"/>
            <w:vMerge w:val="restart"/>
          </w:tcPr>
          <w:p>
            <w:pPr/>
            <w:r>
              <w:rPr>
                <w:lang w:val="zh-CN"/>
                <w:rFonts w:ascii="Times New Roman" w:hAnsi="Times New Roman" w:cs="Times New Roman"/>
                <w:sz w:val="20"/>
                <w:szCs w:val="20"/>
                <w:color w:val="000000"/>
              </w:rPr>
              <w:t>2021/03/25</w:t>
            </w:r>
          </w:p>
        </w:tc>
        <w:tc>
          <w:tcPr>
            <w:tcW w:w="2310" w:type="dxa"/>
            <w:gridSpan w:val="7"/>
          </w:tcPr>
          <w:p>
            <w:pPr/>
            <w:r>
              <w:rPr>
                <w:lang w:val="zh-CN"/>
                <w:rFonts w:ascii="Times New Roman" w:hAnsi="Times New Roman" w:cs="Times New Roman"/>
                <w:b/>
                <w:color w:val="000000"/>
              </w:rPr>
              <w:t>布达拉宫-大昭寺-八廓街(汽车)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景点：【布达拉宫】（游览时间60分钟）。布达拉宫建于公元七世纪40年代，位于拉萨古城西侧，依红山而建（高117米共13层，东西长360余米）。“布达拉”是普陀罗的译音，即菩萨住的宫殿。分为红宫和白宫两部分，红宫为历代达赖的灵塔殿和各类佛堂；白宫是达赖喇嘛的冬宫，是旧时西藏地方政府的办事机构。宫中保藏大量的珍贵文物和精美壁画，历代达赖喇嘛的灵塔也供奉于此，您在这里将能感受到它无比的庄严和神秘（在广场可以拍布宫全景）。参观【大昭寺】（游览时间不低于30分钟）。建于公元七世纪的大昭寺主供的佛像是佛祖释迦牟尼十二岁等身金像，这尊由佛祖自己加持的佛像是佛教徒心中神圣的，人称“觉卧”。【八廓街】（又称八角街，自由活动，无导游陪同，游览时间不低于30分钟）---拉萨乃至整个藏区人文景观的缩影—，这里汇聚着来自各地的朝拜者，还有那些令人眼晕的摊点，围绕在四周的众多建筑，也暗藏着众多古迹，它们述说着拉萨的历史。八廓街不仅是一条转经道，同时它也是拉萨的商业街，两旁店铺林立，商品充满充满西藏、尼泊尔及印度特色。温馨提示：由于布达拉宫（文物保护）门票每日限量销售，布达拉宫线路特分为1号线和2号线，参观线路以布达拉宫管理处批复为准。参观时间可能提前或延后，因此参观布达拉宫时间可能会影响到整体线路的先后调整，在保证服务标准及不减少旅游景点的前提下，我社保留对游览次序进行调整的权利。参观布达拉宫游客必须携带本人有效身份证原件。因参观布宫实行实名制，游客名单入藏前已上传至布宫相关部门审核，并随机打乱顺序，游客参观布宫有可能会出现不能与结伴者同一时间进入参观游览，会出现按时间段分批分拨进入布宫的现象，也会出现等待时间较长的情况，望请游客谅解。此外，旺季及特殊节日导游有可能不陪同进入布达拉宫进行讲解。备注：此日户外停留时间较长，请准备太阳帽，墨镜，防晒霜及饮用水。八角街地摊假冒伪劣商品较多，购买工艺品的时候请谨慎，以免上当受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早餐：包含；午餐：含；晚餐：含；住宿：拉萨</w:t>
            </w:r>
          </w:p>
        </w:tc>
      </w:tr>
      <w:tr>
        <w:tc>
          <w:tcPr>
            <w:tcW w:w="2310" w:type="dxa"/>
            <w:vAlign w:val="center"/>
            <w:vMerge w:val="restart"/>
          </w:tcPr>
          <w:p>
            <w:pPr/>
            <w:r>
              <w:rPr>
                <w:lang w:val="zh-CN"/>
                <w:rFonts w:ascii="Times New Roman" w:hAnsi="Times New Roman" w:cs="Times New Roman"/>
                <w:sz w:val="20"/>
                <w:szCs w:val="20"/>
                <w:color w:val="000000"/>
              </w:rPr>
              <w:t>2021/03/26</w:t>
            </w:r>
          </w:p>
        </w:tc>
        <w:tc>
          <w:tcPr>
            <w:tcW w:w="2310" w:type="dxa"/>
            <w:gridSpan w:val="7"/>
          </w:tcPr>
          <w:p>
            <w:pPr/>
            <w:r>
              <w:rPr>
                <w:lang w:val="zh-CN"/>
                <w:rFonts w:ascii="Times New Roman" w:hAnsi="Times New Roman" w:cs="Times New Roman"/>
                <w:b/>
                <w:color w:val="000000"/>
              </w:rPr>
              <w:t>拉萨-羊卓雍错观景台-藏草宜生-拉萨(汽车)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用早餐或安排路早（面包、牛奶、榨菜等）。接着参观【藏草宜生工业园】（AAA工业旅游景区：游览时间不低于90分钟）。参观虫草生物发酵车间，领略西藏的传统及科技文化。此景点坐落于拉萨市著名的根培乌孜山山脚下。 每年拉萨嘎达瓦节，拉萨各大寺院活佛喇嘛都会到此进行开光加持。它也是中国第一家在海拔3680米以上建厂的冬虫夏草药用高科技企业。本工业旅游景区为更好的宣传企业文化及推广产品，会为游客提供专业讲解并带领游客参观整个产品生产流程，教大家怎样鉴别冬虫夏草的真假，让冬虫夏草在人体中更加合理的吸收，游客还可以免费品尝到拉萨藏茶博览馆的知名藏茶。参观完后抵达有天鹅之湖美称的——【羊卓雍湖观景台】（游览时间不低于20分钟）湖面海拔4441米，东西长130公里，南北宽70公里，湖岸线总长250公里，总面积638平方公里。湖光山色之美，冠绝藏南，湖汊口较多，像珊瑚枝一般，因此它在藏语中又被称为“上面的珊瑚湖”。温馨提示：如因游客个人意愿，要骑牦牛合影，请一定要与牵牦牛的人讲好价格，以免产生不必要的纠纷。此行为不在旅行社可控制范围内，请知悉！羊湖海拔高温度低，不宜久留，并请注意保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早餐：含；午餐：含；晚餐：含；住宿：拉萨</w:t>
            </w:r>
          </w:p>
        </w:tc>
      </w:tr>
      <w:tr>
        <w:tc>
          <w:tcPr>
            <w:tcW w:w="2310" w:type="dxa"/>
            <w:vAlign w:val="center"/>
            <w:vMerge w:val="restart"/>
          </w:tcPr>
          <w:p>
            <w:pPr/>
            <w:r>
              <w:rPr>
                <w:lang w:val="zh-CN"/>
                <w:rFonts w:ascii="Times New Roman" w:hAnsi="Times New Roman" w:cs="Times New Roman"/>
                <w:sz w:val="20"/>
                <w:szCs w:val="20"/>
                <w:color w:val="000000"/>
              </w:rPr>
              <w:t>2021/03/27</w:t>
            </w:r>
          </w:p>
        </w:tc>
        <w:tc>
          <w:tcPr>
            <w:tcW w:w="2310" w:type="dxa"/>
            <w:gridSpan w:val="7"/>
          </w:tcPr>
          <w:p>
            <w:pPr/>
            <w:r>
              <w:rPr>
                <w:lang w:val="zh-CN"/>
                <w:rFonts w:ascii="Times New Roman" w:hAnsi="Times New Roman" w:cs="Times New Roman"/>
                <w:b/>
                <w:color w:val="000000"/>
              </w:rPr>
              <w:t>拉萨-昆明(飞机)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由活动，送至市内民航大巴处（含大巴费），此日无导游。结束愉快而令人难忘的西藏之行！温馨提示：回程航班以最终出票的航班时间及班次为准！请在12点以前收拾好行李，检查房间，到前台办理退房手续，若出现延误退房时间或损坏酒店房间设施，由游客自己承担，旅行社不承担相关责任。</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早餐：含；午餐：不含；晚餐：不含；住宿：家</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熊小路</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马健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2021</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12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2021/3/12 17:08:23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