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南充乐天旅游西湖街门市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YN20241222庞琳01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【经典版纳】西双版纳一地双飞5日游（20240326）</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13(13大)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2024-12-22 PN6497 重庆→版纳 18:10-20:20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2024-12-26 PN6498 版纳→重庆 20:00-22:0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1、陈嘉永</w:t>
            </w:r>
          </w:p>
        </w:tc>
        <w:tc>
          <w:tcPr>
            <w:tcW w:w="2310" w:type="dxa"/>
            <w:vAlign w:val="center"/>
            <w:gridSpan w:val="2"/>
          </w:tcPr>
          <w:p>
            <w:pPr/>
            <w:r>
              <w:rPr>
                <w:lang w:val="zh-CN"/>
                <w:rFonts w:ascii="Times New Roman" w:hAnsi="Times New Roman" w:cs="Times New Roman"/>
                <w:sz w:val="20"/>
                <w:szCs w:val="20"/>
                <w:color w:val="000000"/>
              </w:rPr>
              <w:t>512901195609131618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2、龙丽华</w:t>
            </w:r>
          </w:p>
        </w:tc>
        <w:tc>
          <w:tcPr>
            <w:tcW w:w="2310" w:type="dxa"/>
            <w:vAlign w:val="center"/>
            <w:gridSpan w:val="2"/>
          </w:tcPr>
          <w:p>
            <w:pPr/>
            <w:r>
              <w:rPr>
                <w:lang w:val="zh-CN"/>
                <w:rFonts w:ascii="Times New Roman" w:hAnsi="Times New Roman" w:cs="Times New Roman"/>
                <w:sz w:val="20"/>
                <w:szCs w:val="20"/>
                <w:color w:val="000000"/>
              </w:rPr>
              <w:t>512901195510061621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3、刘咏梅</w:t>
            </w:r>
          </w:p>
        </w:tc>
        <w:tc>
          <w:tcPr>
            <w:tcW w:w="2310" w:type="dxa"/>
            <w:vAlign w:val="center"/>
            <w:gridSpan w:val="2"/>
          </w:tcPr>
          <w:p>
            <w:pPr/>
            <w:r>
              <w:rPr>
                <w:lang w:val="zh-CN"/>
                <w:rFonts w:ascii="Times New Roman" w:hAnsi="Times New Roman" w:cs="Times New Roman"/>
                <w:sz w:val="20"/>
                <w:szCs w:val="20"/>
                <w:color w:val="000000"/>
              </w:rPr>
              <w:t>512901196105011262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4、张文惠</w:t>
            </w:r>
          </w:p>
        </w:tc>
        <w:tc>
          <w:tcPr>
            <w:tcW w:w="2310" w:type="dxa"/>
            <w:vAlign w:val="center"/>
            <w:gridSpan w:val="2"/>
          </w:tcPr>
          <w:p>
            <w:pPr/>
            <w:r>
              <w:rPr>
                <w:lang w:val="zh-CN"/>
                <w:rFonts w:ascii="Times New Roman" w:hAnsi="Times New Roman" w:cs="Times New Roman"/>
                <w:sz w:val="20"/>
                <w:szCs w:val="20"/>
                <w:color w:val="000000"/>
              </w:rPr>
              <w:t>512901196506101621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5、曾晓丽</w:t>
            </w:r>
          </w:p>
        </w:tc>
        <w:tc>
          <w:tcPr>
            <w:tcW w:w="2310" w:type="dxa"/>
            <w:vAlign w:val="center"/>
            <w:gridSpan w:val="2"/>
          </w:tcPr>
          <w:p>
            <w:pPr/>
            <w:r>
              <w:rPr>
                <w:lang w:val="zh-CN"/>
                <w:rFonts w:ascii="Times New Roman" w:hAnsi="Times New Roman" w:cs="Times New Roman"/>
                <w:sz w:val="20"/>
                <w:szCs w:val="20"/>
                <w:color w:val="000000"/>
              </w:rPr>
              <w:t>512901196310211626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6、何勇</w:t>
            </w:r>
          </w:p>
        </w:tc>
        <w:tc>
          <w:tcPr>
            <w:tcW w:w="2310" w:type="dxa"/>
            <w:vAlign w:val="center"/>
            <w:gridSpan w:val="2"/>
          </w:tcPr>
          <w:p>
            <w:pPr/>
            <w:r>
              <w:rPr>
                <w:lang w:val="zh-CN"/>
                <w:rFonts w:ascii="Times New Roman" w:hAnsi="Times New Roman" w:cs="Times New Roman"/>
                <w:sz w:val="20"/>
                <w:szCs w:val="20"/>
                <w:color w:val="000000"/>
              </w:rPr>
              <w:t>512901196201121613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7、宋世清</w:t>
            </w:r>
          </w:p>
        </w:tc>
        <w:tc>
          <w:tcPr>
            <w:tcW w:w="2310" w:type="dxa"/>
            <w:vAlign w:val="center"/>
            <w:gridSpan w:val="2"/>
          </w:tcPr>
          <w:p>
            <w:pPr/>
            <w:r>
              <w:rPr>
                <w:lang w:val="zh-CN"/>
                <w:rFonts w:ascii="Times New Roman" w:hAnsi="Times New Roman" w:cs="Times New Roman"/>
                <w:sz w:val="20"/>
                <w:szCs w:val="20"/>
                <w:color w:val="000000"/>
              </w:rPr>
              <w:t>51292119651001012X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8、宋君</w:t>
            </w:r>
          </w:p>
        </w:tc>
        <w:tc>
          <w:tcPr>
            <w:tcW w:w="2310" w:type="dxa"/>
            <w:vAlign w:val="center"/>
            <w:gridSpan w:val="2"/>
          </w:tcPr>
          <w:p>
            <w:pPr/>
            <w:r>
              <w:rPr>
                <w:lang w:val="zh-CN"/>
                <w:rFonts w:ascii="Times New Roman" w:hAnsi="Times New Roman" w:cs="Times New Roman"/>
                <w:sz w:val="20"/>
                <w:szCs w:val="20"/>
                <w:color w:val="000000"/>
              </w:rPr>
              <w:t>512921197108150065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9、任芳</w:t>
            </w:r>
          </w:p>
        </w:tc>
        <w:tc>
          <w:tcPr>
            <w:tcW w:w="2310" w:type="dxa"/>
            <w:vAlign w:val="center"/>
            <w:gridSpan w:val="2"/>
          </w:tcPr>
          <w:p>
            <w:pPr/>
            <w:r>
              <w:rPr>
                <w:lang w:val="zh-CN"/>
                <w:rFonts w:ascii="Times New Roman" w:hAnsi="Times New Roman" w:cs="Times New Roman"/>
                <w:sz w:val="20"/>
                <w:szCs w:val="20"/>
                <w:color w:val="000000"/>
              </w:rPr>
              <w:t>512901196812101224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10、刘芳</w:t>
            </w:r>
          </w:p>
        </w:tc>
        <w:tc>
          <w:tcPr>
            <w:tcW w:w="2310" w:type="dxa"/>
            <w:vAlign w:val="center"/>
            <w:gridSpan w:val="2"/>
          </w:tcPr>
          <w:p>
            <w:pPr/>
            <w:r>
              <w:rPr>
                <w:lang w:val="zh-CN"/>
                <w:rFonts w:ascii="Times New Roman" w:hAnsi="Times New Roman" w:cs="Times New Roman"/>
                <w:sz w:val="20"/>
                <w:szCs w:val="20"/>
                <w:color w:val="000000"/>
              </w:rPr>
              <w:t>510902197704249327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11、张国平</w:t>
            </w:r>
          </w:p>
        </w:tc>
        <w:tc>
          <w:tcPr>
            <w:tcW w:w="2310" w:type="dxa"/>
            <w:vAlign w:val="center"/>
            <w:gridSpan w:val="2"/>
          </w:tcPr>
          <w:p>
            <w:pPr/>
            <w:r>
              <w:rPr>
                <w:lang w:val="zh-CN"/>
                <w:rFonts w:ascii="Times New Roman" w:hAnsi="Times New Roman" w:cs="Times New Roman"/>
                <w:sz w:val="20"/>
                <w:szCs w:val="20"/>
                <w:color w:val="000000"/>
              </w:rPr>
              <w:t>512901195803070820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12、杨明芳</w:t>
            </w:r>
          </w:p>
        </w:tc>
        <w:tc>
          <w:tcPr>
            <w:tcW w:w="2310" w:type="dxa"/>
            <w:vAlign w:val="center"/>
            <w:gridSpan w:val="2"/>
          </w:tcPr>
          <w:p>
            <w:pPr/>
            <w:r>
              <w:rPr>
                <w:lang w:val="zh-CN"/>
                <w:rFonts w:ascii="Times New Roman" w:hAnsi="Times New Roman" w:cs="Times New Roman"/>
                <w:sz w:val="20"/>
                <w:szCs w:val="20"/>
                <w:color w:val="000000"/>
              </w:rPr>
              <w:t>512901195402251225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13、陈达</w:t>
            </w:r>
          </w:p>
        </w:tc>
        <w:tc>
          <w:tcPr>
            <w:tcW w:w="2310" w:type="dxa"/>
            <w:vAlign w:val="center"/>
            <w:gridSpan w:val="2"/>
          </w:tcPr>
          <w:p>
            <w:pPr/>
            <w:r>
              <w:rPr>
                <w:lang w:val="zh-CN"/>
                <w:rFonts w:ascii="Times New Roman" w:hAnsi="Times New Roman" w:cs="Times New Roman"/>
                <w:sz w:val="20"/>
                <w:szCs w:val="20"/>
                <w:color w:val="000000"/>
              </w:rPr>
              <w:t>510123195012031617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1499.00</w:t>
            </w:r>
          </w:p>
        </w:tc>
        <w:tc>
          <w:tcPr>
            <w:tcW w:w="2310" w:type="dxa"/>
          </w:tcPr>
          <w:p>
            <w:pPr/>
            <w:r>
              <w:rPr>
                <w:lang w:val="zh-CN"/>
                <w:rFonts w:ascii="Times New Roman" w:hAnsi="Times New Roman" w:cs="Times New Roman"/>
                <w:sz w:val="20"/>
                <w:szCs w:val="20"/>
                <w:color w:val="000000"/>
              </w:rPr>
              <w:t>19487.00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动车票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1382.00</w:t>
            </w:r>
          </w:p>
        </w:tc>
        <w:tc>
          <w:tcPr>
            <w:tcW w:w="2310" w:type="dxa"/>
          </w:tcPr>
          <w:p>
            <w:pPr/>
            <w:r>
              <w:rPr>
                <w:lang w:val="zh-CN"/>
                <w:rFonts w:ascii="Times New Roman" w:hAnsi="Times New Roman" w:cs="Times New Roman"/>
                <w:sz w:val="20"/>
                <w:szCs w:val="20"/>
                <w:color w:val="000000"/>
              </w:rPr>
              <w:t>1382.00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总金额：贰万零捌佰陆拾玖元整</w:t>
            </w:r>
          </w:p>
        </w:tc>
        <w:tc>
          <w:tcPr>
            <w:tcW w:w="2310" w:type="dxa"/>
            <w:textDirection w:val="right"/>
            <w:gridSpan w:val="3"/>
          </w:tcPr>
          <w:p>
            <w:pPr/>
            <w:r>
              <w:rPr>
                <w:lang w:val="zh-CN"/>
                <w:rFonts w:ascii="Times New Roman" w:hAnsi="Times New Roman" w:cs="Times New Roman"/>
                <w:b/>
                <w:color w:val="FF0000"/>
              </w:rPr>
              <w:t>20869.00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2024/12/22</w:t>
            </w:r>
          </w:p>
        </w:tc>
        <w:tc>
          <w:tcPr>
            <w:tcW w:w="2310" w:type="dxa"/>
            <w:gridSpan w:val="7"/>
          </w:tcPr>
          <w:p>
            <w:pPr/>
            <w:r>
              <w:rPr>
                <w:lang w:val="zh-CN"/>
                <w:rFonts w:ascii="Times New Roman" w:hAnsi="Times New Roman" w:cs="Times New Roman"/>
                <w:b/>
                <w:color w:val="000000"/>
              </w:rPr>
              <w:t>重庆/西双版纳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飞往西双版纳，抵达西双版纳国际机场，感受版纳的风土人情。乘车前往酒店（约4KM、车程约15分钟），入住酒店，自由活动。温馨提示??航班抵达西双版纳后，请您保持报名时预留电话的畅通，以便于接送人员能在第一时间内为您提供服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2024/12/23</w:t>
            </w:r>
          </w:p>
        </w:tc>
        <w:tc>
          <w:tcPr>
            <w:tcW w:w="2310" w:type="dxa"/>
            <w:gridSpan w:val="7"/>
          </w:tcPr>
          <w:p>
            <w:pPr/>
            <w:r>
              <w:rPr>
                <w:lang w:val="zh-CN"/>
                <w:rFonts w:ascii="Times New Roman" w:hAnsi="Times New Roman" w:cs="Times New Roman"/>
                <w:b/>
                <w:color w:val="000000"/>
              </w:rPr>
              <w:t>交通：景洪野象谷-总佛寺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野生亚洲象保护地【野象谷】（游览时间120-180分钟，不含索道单程50、往返70元/人），中国唯一一处能近距离安全观测到亚洲野象的地方，这里有中国最长的高空观象走廊、中国唯一的亚洲象博物馆、有着最权威的亚洲象种源繁育及救助中心，近距离观测亚洲象自然生态。你可以走进神秘的高空观象走廊，呼吸着清新的空气，俯瞰谷内热带雨林全貌，穿越在热带雨林寻找亚洲象的踪迹，中餐安排野象谷特色，浓郁的野生感觉【野象谷特色大象餐】，畅享舌尖上的美食！午餐后特别赠送【版纳特色下午茶】，充分享受属于您的悠闲版纳时光！结束后前往游览朝圣之地【西双版纳总佛寺】是西双版纳佛教信徒拜佛的中心，也是西双版纳佛寺中等级最高的佛寺。总佛寺建筑大气雄伟，梁柱雕刻精美，主要有维罕大殿、佛学院教学楼等建筑。现今的院楼北墙前筑有供坛，供有数尊佛像，墙壁上绘有《佛本生经》。推荐自费【澜沧江?湄公河之夜篝火晚会】（280元/人）：晚会主要为游客展示西双版纳及澜沧江湄公河流域各国民族风情、舞蹈文化、服饰文化、饮食文化等，游客可以在这里亲身体验少数民族风情，欣赏原汁原味的民俗演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2024/12/24</w:t>
            </w:r>
          </w:p>
        </w:tc>
        <w:tc>
          <w:tcPr>
            <w:tcW w:w="2310" w:type="dxa"/>
            <w:gridSpan w:val="7"/>
          </w:tcPr>
          <w:p>
            <w:pPr/>
            <w:r>
              <w:rPr>
                <w:lang w:val="zh-CN"/>
                <w:rFonts w:ascii="Times New Roman" w:hAnsi="Times New Roman" w:cs="Times New Roman"/>
                <w:b/>
                <w:color w:val="000000"/>
              </w:rPr>
              <w:t>交通：原始森林公园热带花卉园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乘车前往离城最近的一片热带雨林【原始森林公园】(游览时间约120分钟，不含电瓶车60元/人），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结束后可自费游览【湄公河水底世界】（自理80元/人含7D电影）湄公河水底世界是以湄公河水生动物和热带雨林为核心打造的虚拟全景沉浸式水族馆，位于国家4A级旅游景区西双版纳原始森林公园内，占地5000多平方米。可以在中华鲟水底隧道，感受1.4亿年的生命奇迹；还有一座会飞的7D影院（7D为自费观看如需观看费用自理），带你穿越湄公河；更有以湄公河水底世界明星物种——中华鲟、水母、水獭、巨鲶、棕褶树蛙、暹罗巨鲤组成的“蓝莓六萌团”，带你走进一个原始森林深处的水底世界，体验一次湄公河精灵梦王国的奇幻之旅。中餐后前往游览【热带花卉园】（游览时间约为60分钟，不含电瓶车40元/人，可选择性乘坐）。热带花卉园位于景洪市区，占地120公顷，是全国科普教育基地、全国爱国主义教育示范基地，2010年国家自然科学基金委授牌“国家级大学生野外实践基地”。花卉园收集保存有热带特种经济林木、热带花卉、热带水果等热作种质资源近1000种，已成为省热作所保存热带作物种质资源的重要园地，是集科研、科普、旅游观光为一体的主题植物园。漫步园中，你不仅可以与奇花异树亲密接触，认识神奇的热带植物世界，见识热带水果大观园，更能尽情领略绮丽的热带作物微观世界，体现人与自然和谐相处的魅力。推荐体验：澜沧江游船（280元/人自理）感受人妖表演的东南亚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2024/12/25</w:t>
            </w:r>
          </w:p>
        </w:tc>
        <w:tc>
          <w:tcPr>
            <w:tcW w:w="2310" w:type="dxa"/>
            <w:gridSpan w:val="7"/>
          </w:tcPr>
          <w:p>
            <w:pPr/>
            <w:r>
              <w:rPr>
                <w:lang w:val="zh-CN"/>
                <w:rFonts w:ascii="Times New Roman" w:hAnsi="Times New Roman" w:cs="Times New Roman"/>
                <w:b/>
                <w:color w:val="000000"/>
              </w:rPr>
              <w:t>傣族村寨大佛寺夜游告庄西双景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???早餐后，09点准时参观【傣族村寨】游览时间约180分钟，具体根据客人游览情况而定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主要了解傣族村寨的发展变化，参观西双版纳新农村建设的标准典范。随后前往南传佛教的圣地——【勐泐大佛寺】（游玩约120分钟，不含电瓶车40元/人、往返60元/人），佛寺是国家AAAA级景区，在古代傣王朝的皇家寺院“景飘佛寺”原址上恢复重建，以佛祖释迦牟尼的生平及佛寺活动为主线，九龙浴佛、景飘大殿、神石、国殿、吉祥大佛等，成为世界南传佛教的文化中心。之后前往【游览告庄西双景】，自行游览东南亚最大的夜市，参观恢弘九塔之【塔庄匡、塔庄莫、塔庄兴、塔庄桑、塔庄冈】等佛塔；盛景十二寨之【景保寨、景匡寨、景兰寨、景亮寨】等村寨；南传上座部佛教圣地【景洪市大金塔寺】，千古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缘【树包塔】；【帕雅真古建筑群】；中国首个东南亚风情夜市；以东南亚“泰国、老挝、柬埔寨、越南、缅甸、中国（西双版纳）”六个国家/地区最具有浓郁文化代表性的传统古典为核心，全面展示六国独特的文化魅力和民族风情。因游览夜市时间无法确定结束后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早餐：包含；午餐：包含；晚餐：不含；住宿：西双版纳</w:t>
            </w:r>
          </w:p>
        </w:tc>
      </w:tr>
      <w:tr>
        <w:tc>
          <w:tcPr>
            <w:tcW w:w="2310" w:type="dxa"/>
            <w:vAlign w:val="center"/>
            <w:vMerge w:val="restart"/>
          </w:tcPr>
          <w:p>
            <w:pPr/>
            <w:r>
              <w:rPr>
                <w:lang w:val="zh-CN"/>
                <w:rFonts w:ascii="Times New Roman" w:hAnsi="Times New Roman" w:cs="Times New Roman"/>
                <w:sz w:val="20"/>
                <w:szCs w:val="20"/>
                <w:color w:val="000000"/>
              </w:rPr>
              <w:t>2024/12/26</w:t>
            </w:r>
          </w:p>
        </w:tc>
        <w:tc>
          <w:tcPr>
            <w:tcW w:w="2310" w:type="dxa"/>
            <w:gridSpan w:val="7"/>
          </w:tcPr>
          <w:p>
            <w:pPr/>
            <w:r>
              <w:rPr>
                <w:lang w:val="zh-CN"/>
                <w:rFonts w:ascii="Times New Roman" w:hAnsi="Times New Roman" w:cs="Times New Roman"/>
                <w:b/>
                <w:color w:val="000000"/>
              </w:rPr>
              <w:t>版纳/重庆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根据航班送机，乘机返回目的地，结束此次版纳之旅！温馨提示??行程内?（伴手礼包）（车游告庄）（特色餐）为升级赠送项目不参与不退费返程前请关注目的地的天气情况，以方便您在下机前做好添减衣物的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早餐：包含；午餐：不含；晚餐：不含；住宿：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12</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2024/12/20 10:14:17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