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四川全球通旅行社宝轮店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邢丽娟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YN20240408庞琳21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遇见香巴拉昆大丽香版双飞双动8日游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2024-04-08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26(26大)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2024-04-08 3U8248 广元→昆明 22:15-23:55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2024-04-15 3U8247 昆明→广元 14:10-15:4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1、李凤华</w:t>
            </w:r>
          </w:p>
        </w:tc>
        <w:tc>
          <w:tcPr>
            <w:tcW w:w="2310" w:type="dxa"/>
            <w:vAlign w:val="center"/>
            <w:gridSpan w:val="2"/>
          </w:tcPr>
          <w:p>
            <w:pPr/>
            <w:r>
              <w:rPr>
                <w:lang w:val="zh-CN"/>
                <w:rFonts w:ascii="Times New Roman" w:hAnsi="Times New Roman" w:cs="Times New Roman"/>
                <w:sz w:val="20"/>
                <w:szCs w:val="20"/>
                <w:color w:val="000000"/>
              </w:rPr>
              <w:t>510802196811091721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2、张焕蓉</w:t>
            </w:r>
          </w:p>
        </w:tc>
        <w:tc>
          <w:tcPr>
            <w:tcW w:w="2310" w:type="dxa"/>
            <w:vAlign w:val="center"/>
            <w:gridSpan w:val="2"/>
          </w:tcPr>
          <w:p>
            <w:pPr/>
            <w:r>
              <w:rPr>
                <w:lang w:val="zh-CN"/>
                <w:rFonts w:ascii="Times New Roman" w:hAnsi="Times New Roman" w:cs="Times New Roman"/>
                <w:sz w:val="20"/>
                <w:szCs w:val="20"/>
                <w:color w:val="000000"/>
              </w:rPr>
              <w:t>510802197302171728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3、陈洪菊</w:t>
            </w:r>
          </w:p>
        </w:tc>
        <w:tc>
          <w:tcPr>
            <w:tcW w:w="2310" w:type="dxa"/>
            <w:vAlign w:val="center"/>
            <w:gridSpan w:val="2"/>
          </w:tcPr>
          <w:p>
            <w:pPr/>
            <w:r>
              <w:rPr>
                <w:lang w:val="zh-CN"/>
                <w:rFonts w:ascii="Times New Roman" w:hAnsi="Times New Roman" w:cs="Times New Roman"/>
                <w:sz w:val="20"/>
                <w:szCs w:val="20"/>
                <w:color w:val="000000"/>
              </w:rPr>
              <w:t>510802194511161725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4、宁玉明</w:t>
            </w:r>
          </w:p>
        </w:tc>
        <w:tc>
          <w:tcPr>
            <w:tcW w:w="2310" w:type="dxa"/>
            <w:vAlign w:val="center"/>
            <w:gridSpan w:val="2"/>
          </w:tcPr>
          <w:p>
            <w:pPr/>
            <w:r>
              <w:rPr>
                <w:lang w:val="zh-CN"/>
                <w:rFonts w:ascii="Times New Roman" w:hAnsi="Times New Roman" w:cs="Times New Roman"/>
                <w:sz w:val="20"/>
                <w:szCs w:val="20"/>
                <w:color w:val="000000"/>
              </w:rPr>
              <w:t>51080219711105174X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5、刘文英</w:t>
            </w:r>
          </w:p>
        </w:tc>
        <w:tc>
          <w:tcPr>
            <w:tcW w:w="2310" w:type="dxa"/>
            <w:vAlign w:val="center"/>
            <w:gridSpan w:val="2"/>
          </w:tcPr>
          <w:p>
            <w:pPr/>
            <w:r>
              <w:rPr>
                <w:lang w:val="zh-CN"/>
                <w:rFonts w:ascii="Times New Roman" w:hAnsi="Times New Roman" w:cs="Times New Roman"/>
                <w:sz w:val="20"/>
                <w:szCs w:val="20"/>
                <w:color w:val="000000"/>
              </w:rPr>
              <w:t>510802195411181723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6、何建群</w:t>
            </w:r>
          </w:p>
        </w:tc>
        <w:tc>
          <w:tcPr>
            <w:tcW w:w="2310" w:type="dxa"/>
            <w:vAlign w:val="center"/>
            <w:gridSpan w:val="2"/>
          </w:tcPr>
          <w:p>
            <w:pPr/>
            <w:r>
              <w:rPr>
                <w:lang w:val="zh-CN"/>
                <w:rFonts w:ascii="Times New Roman" w:hAnsi="Times New Roman" w:cs="Times New Roman"/>
                <w:sz w:val="20"/>
                <w:szCs w:val="20"/>
                <w:color w:val="000000"/>
              </w:rPr>
              <w:t>510802197002281722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7、王志平</w:t>
            </w:r>
          </w:p>
        </w:tc>
        <w:tc>
          <w:tcPr>
            <w:tcW w:w="2310" w:type="dxa"/>
            <w:vAlign w:val="center"/>
            <w:gridSpan w:val="2"/>
          </w:tcPr>
          <w:p>
            <w:pPr/>
            <w:r>
              <w:rPr>
                <w:lang w:val="zh-CN"/>
                <w:rFonts w:ascii="Times New Roman" w:hAnsi="Times New Roman" w:cs="Times New Roman"/>
                <w:sz w:val="20"/>
                <w:szCs w:val="20"/>
                <w:color w:val="000000"/>
              </w:rPr>
              <w:t>510802195812081731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8、杨光菊</w:t>
            </w:r>
          </w:p>
        </w:tc>
        <w:tc>
          <w:tcPr>
            <w:tcW w:w="2310" w:type="dxa"/>
            <w:vAlign w:val="center"/>
            <w:gridSpan w:val="2"/>
          </w:tcPr>
          <w:p>
            <w:pPr/>
            <w:r>
              <w:rPr>
                <w:lang w:val="zh-CN"/>
                <w:rFonts w:ascii="Times New Roman" w:hAnsi="Times New Roman" w:cs="Times New Roman"/>
                <w:sz w:val="20"/>
                <w:szCs w:val="20"/>
                <w:color w:val="000000"/>
              </w:rPr>
              <w:t>510802195608071720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9、宫汝华</w:t>
            </w:r>
          </w:p>
        </w:tc>
        <w:tc>
          <w:tcPr>
            <w:tcW w:w="2310" w:type="dxa"/>
            <w:vAlign w:val="center"/>
            <w:gridSpan w:val="2"/>
          </w:tcPr>
          <w:p>
            <w:pPr/>
            <w:r>
              <w:rPr>
                <w:lang w:val="zh-CN"/>
                <w:rFonts w:ascii="Times New Roman" w:hAnsi="Times New Roman" w:cs="Times New Roman"/>
                <w:sz w:val="20"/>
                <w:szCs w:val="20"/>
                <w:color w:val="000000"/>
              </w:rPr>
              <w:t>510802195006050439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10、杨映花</w:t>
            </w:r>
          </w:p>
        </w:tc>
        <w:tc>
          <w:tcPr>
            <w:tcW w:w="2310" w:type="dxa"/>
            <w:vAlign w:val="center"/>
            <w:gridSpan w:val="2"/>
          </w:tcPr>
          <w:p>
            <w:pPr/>
            <w:r>
              <w:rPr>
                <w:lang w:val="zh-CN"/>
                <w:rFonts w:ascii="Times New Roman" w:hAnsi="Times New Roman" w:cs="Times New Roman"/>
                <w:sz w:val="20"/>
                <w:szCs w:val="20"/>
                <w:color w:val="000000"/>
              </w:rPr>
              <w:t>510802198105281420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11、张光花</w:t>
            </w:r>
          </w:p>
        </w:tc>
        <w:tc>
          <w:tcPr>
            <w:tcW w:w="2310" w:type="dxa"/>
            <w:vAlign w:val="center"/>
            <w:gridSpan w:val="2"/>
          </w:tcPr>
          <w:p>
            <w:pPr/>
            <w:r>
              <w:rPr>
                <w:lang w:val="zh-CN"/>
                <w:rFonts w:ascii="Times New Roman" w:hAnsi="Times New Roman" w:cs="Times New Roman"/>
                <w:sz w:val="20"/>
                <w:szCs w:val="20"/>
                <w:color w:val="000000"/>
              </w:rPr>
              <w:t>510802196201271741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12、常曾英</w:t>
            </w:r>
          </w:p>
        </w:tc>
        <w:tc>
          <w:tcPr>
            <w:tcW w:w="2310" w:type="dxa"/>
            <w:vAlign w:val="center"/>
            <w:gridSpan w:val="2"/>
          </w:tcPr>
          <w:p>
            <w:pPr/>
            <w:r>
              <w:rPr>
                <w:lang w:val="zh-CN"/>
                <w:rFonts w:ascii="Times New Roman" w:hAnsi="Times New Roman" w:cs="Times New Roman"/>
                <w:sz w:val="20"/>
                <w:szCs w:val="20"/>
                <w:color w:val="000000"/>
              </w:rPr>
              <w:t>510802197702153668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13、吴孟娟</w:t>
            </w:r>
          </w:p>
        </w:tc>
        <w:tc>
          <w:tcPr>
            <w:tcW w:w="2310" w:type="dxa"/>
            <w:vAlign w:val="center"/>
            <w:gridSpan w:val="2"/>
          </w:tcPr>
          <w:p>
            <w:pPr/>
            <w:r>
              <w:rPr>
                <w:lang w:val="zh-CN"/>
                <w:rFonts w:ascii="Times New Roman" w:hAnsi="Times New Roman" w:cs="Times New Roman"/>
                <w:sz w:val="20"/>
                <w:szCs w:val="20"/>
                <w:color w:val="000000"/>
              </w:rPr>
              <w:t>510802200208241325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14、朱桂萍</w:t>
            </w:r>
          </w:p>
        </w:tc>
        <w:tc>
          <w:tcPr>
            <w:tcW w:w="2310" w:type="dxa"/>
            <w:vAlign w:val="center"/>
            <w:gridSpan w:val="2"/>
          </w:tcPr>
          <w:p>
            <w:pPr/>
            <w:r>
              <w:rPr>
                <w:lang w:val="zh-CN"/>
                <w:rFonts w:ascii="Times New Roman" w:hAnsi="Times New Roman" w:cs="Times New Roman"/>
                <w:sz w:val="20"/>
                <w:szCs w:val="20"/>
                <w:color w:val="000000"/>
              </w:rPr>
              <w:t>622626196509213027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15、刘建国</w:t>
            </w:r>
          </w:p>
        </w:tc>
        <w:tc>
          <w:tcPr>
            <w:tcW w:w="2310" w:type="dxa"/>
            <w:vAlign w:val="center"/>
            <w:gridSpan w:val="2"/>
          </w:tcPr>
          <w:p>
            <w:pPr/>
            <w:r>
              <w:rPr>
                <w:lang w:val="zh-CN"/>
                <w:rFonts w:ascii="Times New Roman" w:hAnsi="Times New Roman" w:cs="Times New Roman"/>
                <w:sz w:val="20"/>
                <w:szCs w:val="20"/>
                <w:color w:val="000000"/>
              </w:rPr>
              <w:t>622626196301253011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16、刘明菊</w:t>
            </w:r>
          </w:p>
        </w:tc>
        <w:tc>
          <w:tcPr>
            <w:tcW w:w="2310" w:type="dxa"/>
            <w:vAlign w:val="center"/>
            <w:gridSpan w:val="2"/>
          </w:tcPr>
          <w:p>
            <w:pPr/>
            <w:r>
              <w:rPr>
                <w:lang w:val="zh-CN"/>
                <w:rFonts w:ascii="Times New Roman" w:hAnsi="Times New Roman" w:cs="Times New Roman"/>
                <w:sz w:val="20"/>
                <w:szCs w:val="20"/>
                <w:color w:val="000000"/>
              </w:rPr>
              <w:t>622626195307063046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17、罗秀兰</w:t>
            </w:r>
          </w:p>
        </w:tc>
        <w:tc>
          <w:tcPr>
            <w:tcW w:w="2310" w:type="dxa"/>
            <w:vAlign w:val="center"/>
            <w:gridSpan w:val="2"/>
          </w:tcPr>
          <w:p>
            <w:pPr/>
            <w:r>
              <w:rPr>
                <w:lang w:val="zh-CN"/>
                <w:rFonts w:ascii="Times New Roman" w:hAnsi="Times New Roman" w:cs="Times New Roman"/>
                <w:sz w:val="20"/>
                <w:szCs w:val="20"/>
                <w:color w:val="000000"/>
              </w:rPr>
              <w:t>62262619550301302X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18、刘静</w:t>
            </w:r>
          </w:p>
        </w:tc>
        <w:tc>
          <w:tcPr>
            <w:tcW w:w="2310" w:type="dxa"/>
            <w:vAlign w:val="center"/>
            <w:gridSpan w:val="2"/>
          </w:tcPr>
          <w:p>
            <w:pPr/>
            <w:r>
              <w:rPr>
                <w:lang w:val="zh-CN"/>
                <w:rFonts w:ascii="Times New Roman" w:hAnsi="Times New Roman" w:cs="Times New Roman"/>
                <w:sz w:val="20"/>
                <w:szCs w:val="20"/>
                <w:color w:val="000000"/>
              </w:rPr>
              <w:t>622626197709193029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19、龚昭秀</w:t>
            </w:r>
          </w:p>
        </w:tc>
        <w:tc>
          <w:tcPr>
            <w:tcW w:w="2310" w:type="dxa"/>
            <w:vAlign w:val="center"/>
            <w:gridSpan w:val="2"/>
          </w:tcPr>
          <w:p>
            <w:pPr/>
            <w:r>
              <w:rPr>
                <w:lang w:val="zh-CN"/>
                <w:rFonts w:ascii="Times New Roman" w:hAnsi="Times New Roman" w:cs="Times New Roman"/>
                <w:sz w:val="20"/>
                <w:szCs w:val="20"/>
                <w:color w:val="000000"/>
              </w:rPr>
              <w:t>510822196409151285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20、吴大翠</w:t>
            </w:r>
          </w:p>
        </w:tc>
        <w:tc>
          <w:tcPr>
            <w:tcW w:w="2310" w:type="dxa"/>
            <w:vAlign w:val="center"/>
            <w:gridSpan w:val="2"/>
          </w:tcPr>
          <w:p>
            <w:pPr/>
            <w:r>
              <w:rPr>
                <w:lang w:val="zh-CN"/>
                <w:rFonts w:ascii="Times New Roman" w:hAnsi="Times New Roman" w:cs="Times New Roman"/>
                <w:sz w:val="20"/>
                <w:szCs w:val="20"/>
                <w:color w:val="000000"/>
              </w:rPr>
              <w:t>510822196703284783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21、彭素珍</w:t>
            </w:r>
          </w:p>
        </w:tc>
        <w:tc>
          <w:tcPr>
            <w:tcW w:w="2310" w:type="dxa"/>
            <w:vAlign w:val="center"/>
            <w:gridSpan w:val="2"/>
          </w:tcPr>
          <w:p>
            <w:pPr/>
            <w:r>
              <w:rPr>
                <w:lang w:val="zh-CN"/>
                <w:rFonts w:ascii="Times New Roman" w:hAnsi="Times New Roman" w:cs="Times New Roman"/>
                <w:sz w:val="20"/>
                <w:szCs w:val="20"/>
                <w:color w:val="000000"/>
              </w:rPr>
              <w:t>510822196710300024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22、雷洪英</w:t>
            </w:r>
          </w:p>
        </w:tc>
        <w:tc>
          <w:tcPr>
            <w:tcW w:w="2310" w:type="dxa"/>
            <w:vAlign w:val="center"/>
            <w:gridSpan w:val="2"/>
          </w:tcPr>
          <w:p>
            <w:pPr/>
            <w:r>
              <w:rPr>
                <w:lang w:val="zh-CN"/>
                <w:rFonts w:ascii="Times New Roman" w:hAnsi="Times New Roman" w:cs="Times New Roman"/>
                <w:sz w:val="20"/>
                <w:szCs w:val="20"/>
                <w:color w:val="000000"/>
              </w:rPr>
              <w:t>510822196403150046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23、邓中清</w:t>
            </w:r>
          </w:p>
        </w:tc>
        <w:tc>
          <w:tcPr>
            <w:tcW w:w="2310" w:type="dxa"/>
            <w:vAlign w:val="center"/>
            <w:gridSpan w:val="2"/>
          </w:tcPr>
          <w:p>
            <w:pPr/>
            <w:r>
              <w:rPr>
                <w:lang w:val="zh-CN"/>
                <w:rFonts w:ascii="Times New Roman" w:hAnsi="Times New Roman" w:cs="Times New Roman"/>
                <w:sz w:val="20"/>
                <w:szCs w:val="20"/>
                <w:color w:val="000000"/>
              </w:rPr>
              <w:t>510822196211200029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24、佘金英</w:t>
            </w:r>
          </w:p>
        </w:tc>
        <w:tc>
          <w:tcPr>
            <w:tcW w:w="2310" w:type="dxa"/>
            <w:vAlign w:val="center"/>
            <w:gridSpan w:val="2"/>
          </w:tcPr>
          <w:p>
            <w:pPr/>
            <w:r>
              <w:rPr>
                <w:lang w:val="zh-CN"/>
                <w:rFonts w:ascii="Times New Roman" w:hAnsi="Times New Roman" w:cs="Times New Roman"/>
                <w:sz w:val="20"/>
                <w:szCs w:val="20"/>
                <w:color w:val="000000"/>
              </w:rPr>
              <w:t>510822195407220668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25、赵红梅</w:t>
            </w:r>
          </w:p>
        </w:tc>
        <w:tc>
          <w:tcPr>
            <w:tcW w:w="2310" w:type="dxa"/>
            <w:vAlign w:val="center"/>
            <w:gridSpan w:val="2"/>
          </w:tcPr>
          <w:p>
            <w:pPr/>
            <w:r>
              <w:rPr>
                <w:lang w:val="zh-CN"/>
                <w:rFonts w:ascii="Times New Roman" w:hAnsi="Times New Roman" w:cs="Times New Roman"/>
                <w:sz w:val="20"/>
                <w:szCs w:val="20"/>
                <w:color w:val="000000"/>
              </w:rPr>
              <w:t>510822196901040026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26、罗铁鑫</w:t>
            </w:r>
          </w:p>
        </w:tc>
        <w:tc>
          <w:tcPr>
            <w:tcW w:w="2310" w:type="dxa"/>
            <w:vAlign w:val="center"/>
            <w:gridSpan w:val="2"/>
          </w:tcPr>
          <w:p>
            <w:pPr/>
            <w:r>
              <w:rPr>
                <w:lang w:val="zh-CN"/>
                <w:rFonts w:ascii="Times New Roman" w:hAnsi="Times New Roman" w:cs="Times New Roman"/>
                <w:sz w:val="20"/>
                <w:szCs w:val="20"/>
                <w:color w:val="000000"/>
              </w:rPr>
              <w:t>510824199508110231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25</w:t>
            </w:r>
          </w:p>
        </w:tc>
        <w:tc>
          <w:tcPr>
            <w:tcW w:w="2310" w:type="dxa"/>
          </w:tcPr>
          <w:p>
            <w:pPr/>
            <w:r>
              <w:rPr>
                <w:lang w:val="zh-CN"/>
                <w:rFonts w:ascii="Times New Roman" w:hAnsi="Times New Roman" w:cs="Times New Roman"/>
                <w:sz w:val="20"/>
                <w:szCs w:val="20"/>
                <w:color w:val="000000"/>
              </w:rPr>
              <w:t>2470.00</w:t>
            </w:r>
          </w:p>
        </w:tc>
        <w:tc>
          <w:tcPr>
            <w:tcW w:w="2310" w:type="dxa"/>
          </w:tcPr>
          <w:p>
            <w:pPr/>
            <w:r>
              <w:rPr>
                <w:lang w:val="zh-CN"/>
                <w:rFonts w:ascii="Times New Roman" w:hAnsi="Times New Roman" w:cs="Times New Roman"/>
                <w:sz w:val="20"/>
                <w:szCs w:val="20"/>
                <w:color w:val="000000"/>
              </w:rPr>
              <w:t>61750.00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1820.00</w:t>
            </w:r>
          </w:p>
        </w:tc>
        <w:tc>
          <w:tcPr>
            <w:tcW w:w="2310" w:type="dxa"/>
          </w:tcPr>
          <w:p>
            <w:pPr/>
            <w:r>
              <w:rPr>
                <w:lang w:val="zh-CN"/>
                <w:rFonts w:ascii="Times New Roman" w:hAnsi="Times New Roman" w:cs="Times New Roman"/>
                <w:sz w:val="20"/>
                <w:szCs w:val="20"/>
                <w:color w:val="000000"/>
              </w:rPr>
              <w:t>1820.00</w:t>
            </w:r>
          </w:p>
        </w:tc>
        <w:tc>
          <w:tcPr>
            <w:tcW w:w="2310" w:type="dxa"/>
            <w:gridSpan w:val="2"/>
          </w:tcPr>
          <w:p>
            <w:pPr/>
            <w:r>
              <w:rPr>
                <w:lang w:val="zh-CN"/>
                <w:rFonts w:ascii="Times New Roman" w:hAnsi="Times New Roman" w:cs="Times New Roman"/>
                <w:sz w:val="20"/>
                <w:szCs w:val="20"/>
                <w:color w:val="000000"/>
              </w:rPr>
              <w:t>全陪</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总金额：陆万叁仟伍佰柒拾元整</w:t>
            </w:r>
          </w:p>
        </w:tc>
        <w:tc>
          <w:tcPr>
            <w:tcW w:w="2310" w:type="dxa"/>
            <w:textDirection w:val="right"/>
            <w:gridSpan w:val="3"/>
          </w:tcPr>
          <w:p>
            <w:pPr/>
            <w:r>
              <w:rPr>
                <w:lang w:val="zh-CN"/>
                <w:rFonts w:ascii="Times New Roman" w:hAnsi="Times New Roman" w:cs="Times New Roman"/>
                <w:b/>
                <w:color w:val="FF0000"/>
              </w:rPr>
              <w:t>63570.00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2024/04/08</w:t>
            </w:r>
          </w:p>
        </w:tc>
        <w:tc>
          <w:tcPr>
            <w:tcW w:w="2310" w:type="dxa"/>
            <w:gridSpan w:val="7"/>
          </w:tcPr>
          <w:p>
            <w:pPr/>
            <w:r>
              <w:rPr>
                <w:lang w:val="zh-CN"/>
                <w:rFonts w:ascii="Times New Roman" w:hAnsi="Times New Roman" w:cs="Times New Roman"/>
                <w:b/>
                <w:color w:val="000000"/>
              </w:rPr>
              <w:t>广元-昆明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各地搭乘飞机/火车至昆明，接火车后，安排入住酒店，在四季如春的高原城市昆明，享受蓝天白云及生活的闲暇。稍作休整之后，您可以自行前往品尝昆明美食（过桥米线等）。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2024/04/09</w:t>
            </w:r>
          </w:p>
        </w:tc>
        <w:tc>
          <w:tcPr>
            <w:tcW w:w="2310" w:type="dxa"/>
            <w:gridSpan w:val="7"/>
          </w:tcPr>
          <w:p>
            <w:pPr/>
            <w:r>
              <w:rPr>
                <w:lang w:val="zh-CN"/>
                <w:rFonts w:ascii="Times New Roman" w:hAnsi="Times New Roman" w:cs="Times New Roman"/>
                <w:b/>
                <w:color w:val="000000"/>
              </w:rPr>
              <w:t>大理—圣托里尼—洱海游船—大理古城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理（大约4.5小时左右），到达后前往有中国圣托里尼之称的【理想邦】，在这里随手一拍都是大片，天空与海洋两者间一个个梦境，从这里开始，蓝色浪漫，白色纯净，温柔与风和白云一样恍惚，色彩柔软，伴随着蓝色调，深入内心静谧处，看久了似乎陷进画的浪漫世界，安静地声音，忘记一切。自费乘坐【豪华双层游船】畅游洱海（费用自理180元/人，电瓶车20元/人），海心360度美拍，登金梭岛古渔村游览，一线海景自由拍照，岛内有【龙宫】景点，是天然地下溶洞，正所谓海中有岛，岛中有洞，洞中有景，美不胜收。龙宫内的【魅力金梭之海菜花】歌舞晚会，以及保护洱海、爱护环境，人与自然和谐共处的美好画卷。结束后，乘车前往国家AAAA级旅游景区【大理古城、洋人街】（自理电瓶车35元/人），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这里传承了1200多年的古南诏历史，“五华楼”、古老的城墙、四道城门以及旧时的巷道，无一不是南诏古国文明的历史缩影。晚餐特别安排【南涧跳菜】，南涧跳菜属于非遗文化遗产，席间演唱民族敬酒歌。之后参加民族换装篝火晚会，让游客拿上道具，学习体验白族文艺瑰宝“霸王鞭”舞蹈！并跟随舞蹈演员一起载歌载舞，欢快的围着篝火打跳！后入住大理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2024/04/10</w:t>
            </w:r>
          </w:p>
        </w:tc>
        <w:tc>
          <w:tcPr>
            <w:tcW w:w="2310" w:type="dxa"/>
            <w:gridSpan w:val="7"/>
          </w:tcPr>
          <w:p>
            <w:pPr/>
            <w:r>
              <w:rPr>
                <w:lang w:val="zh-CN"/>
                <w:rFonts w:ascii="Times New Roman" w:hAnsi="Times New Roman" w:cs="Times New Roman"/>
                <w:b/>
                <w:color w:val="000000"/>
              </w:rPr>
              <w:t>丽江—东巴秘境—黑龙潭—丽江古城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丽江，游览【东巴秘境--雪山峡谷演艺公园】（自理电瓶车60元/人）以最新样貌回归，雪山峡谷演艺公园是于荣光《木府风云》携手打造玉龙雪山之下一个带您“穿越回古丽江”的神奇景区！走进景区，仿佛穿越回400年前古丽江，身着古雅纯朴的少数民族服饰，探赏精巧恢弘的土司时代古建筑群，奇遇形形色色的丽江百姓，成为故事中的人，走进传奇之中，独特深刻的“穿越感”、耳目一新的创新体验，生动感受古丽江文明的悠远底蕴。雪山峡谷演艺公园融合雪山、峡谷、高原、悬崖、花海、草甸、湖泊等多种自然风光。游览【黑龙潭】黑龙潭公园位于古城北象山脚下，从大水车溯流而上，有一个晶莹清澈的泉潭，那便是黑龙潭了。这里可以拍摄美丽的玉龙雪山，观看院内的很多古建筑，还能爬上象山俯瞰古城，是古城内的重要景点。随后前往游览久负“柔软时光”盛誉的“高原姑苏”国家AAAAA级景区【丽江古城】又名大研镇，是中国以整座古城申报世界文化遗产获得成功的两座古城之一。丽江古城内的街道依山傍水修建，以红色角砾岩铺就，有四方街、木府、文昌宫、等景点。这里家家流水、户户垂杨，自由漫步于石板路上，感受边睡小镇小桥流水人家的宁静祥和，在世界文化遗产丽江古城中寻味纳西民族的纯朴和文化。（自由活动期间，请贵宾务必注意人身及财产安全）。游览结束后，自行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2024/04/11</w:t>
            </w:r>
          </w:p>
        </w:tc>
        <w:tc>
          <w:tcPr>
            <w:tcW w:w="2310" w:type="dxa"/>
            <w:gridSpan w:val="7"/>
          </w:tcPr>
          <w:p>
            <w:pPr/>
            <w:r>
              <w:rPr>
                <w:lang w:val="zh-CN"/>
                <w:rFonts w:ascii="Times New Roman" w:hAnsi="Times New Roman" w:cs="Times New Roman"/>
                <w:b/>
                <w:color w:val="000000"/>
              </w:rPr>
              <w:t>新华艺术小镇—纳帕海—独克宗古城—藏家土司宴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新华艺术小镇】漫步在新华手工艺传承艺术小镇，是古代茶马古道上的重要驿站。正中间的是整个银器小镇的标志型建筑，坐落于小镇中轴线上的“中国第一银牌坊”。牌坊两边的雕饰以龙凤成翔，麒麟献瑞，梅兰竹菊，仙鹤来庆等吉祥图案组成。鹤庆有着悠久的历史，文化积淀深厚，是世界上地势最高的文明文化传播古道---茶马古道上的文化重镇。中餐后，乘车前往消失的地平线香格里拉，游览【纳帕海】纳帕海自然保护区是国家一级保护动物珍稀飞禽黑颈鹤的理想栖息地。每年9月至次年3月，黑颈鹤在此栖半年左右。依拉草原是云南高原最大的草原，这里纯朴藏区牧民骑着马儿赶着成群的牛羊，过着神仙般的日子。游览【独克宗古城】参观龟山公园，合力转动世界最大转经筒，为家人祈福；晚上赠送观看藏族最有特色的歌舞表演-【藏家土司宴】体验藏族饮食文化，欣赏原生态歌舞，让您尽旅程欢乐，（温馨提示：游览时间约90分钟、青稞酒、酥油茶、青棵、糌粑、奶酪、歌舞表演)，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2024/04/12</w:t>
            </w:r>
          </w:p>
        </w:tc>
        <w:tc>
          <w:tcPr>
            <w:tcW w:w="2310" w:type="dxa"/>
            <w:gridSpan w:val="7"/>
          </w:tcPr>
          <w:p>
            <w:pPr/>
            <w:r>
              <w:rPr>
                <w:lang w:val="zh-CN"/>
                <w:rFonts w:ascii="Times New Roman" w:hAnsi="Times New Roman" w:cs="Times New Roman"/>
                <w:b/>
                <w:color w:val="000000"/>
              </w:rPr>
              <w:t>香格里拉藏文化中心— 松赞林寺—丽江火车返昆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集现代建筑与藏式建筑风格为一体的【香格里拉藏文化中心】它按照天圆地方的理念设计，有着藏传佛教的内涵和民族文化的渗透，可一览藏地瑰宝、多彩香巴拉、雪域印象、香格里拉等民族风情，分别从自然风光到人文生活、历史溯源到宗教艺术，以不同的视角展现多样的藏族文化中心，它也是目前藏区介绍藏文化及藏传佛教文化较为全面的场所。而坛城藏文化中心所有的精华和意义，也是期待现实世界的和平与安宁。是净土的一种幻像，更是对于现实的一种期望。之后乘车前往【松赞林寺】松赞林寺全称噶丹松赞林寺，又名归化寺，是云南地区的大型藏传佛教寺庙，也是川滇一带的格鲁派（黄教）中心。该寺始建于公元1679年，依山而建，远望与拉萨布达拉宫颇有些相似，因其规模宏大，故有“小布达拉宫”的美誉。中餐后，乘车返回丽江，乘坐火车卧铺返回昆明。【此段无导游陪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2024/04/13</w:t>
            </w:r>
          </w:p>
        </w:tc>
        <w:tc>
          <w:tcPr>
            <w:tcW w:w="2310" w:type="dxa"/>
            <w:gridSpan w:val="7"/>
          </w:tcPr>
          <w:p>
            <w:pPr/>
            <w:r>
              <w:rPr>
                <w:lang w:val="zh-CN"/>
                <w:rFonts w:ascii="Times New Roman" w:hAnsi="Times New Roman" w:cs="Times New Roman"/>
                <w:b/>
                <w:color w:val="000000"/>
              </w:rPr>
              <w:t>昆明——野象谷风景区—西双版纳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动车至版纳（要求11点前到），接动车，乘车前往“神秘、奇异、优美”而著称的【野象谷风景区】,它是西双版纳最令人神往的森林公园和观赏野象活动的景区，景区以其特有的热带原始森林景观和数量较多的野生亚洲象而著称于世。野象谷公园内设有动物观赏区,原始森林探险旅游区和接待中心等；建有莽蛇园、百鸟园、中国第一个人工蝴蝶养殖园等特色景点、特色少数民族歌舞表演节目，游人可观看大象表演节目。晚上可自费参加：新傣秀+（六国盛宴）320元/人、篝火晚会280元/人、湄公河游轮280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2024/04/14</w:t>
            </w:r>
          </w:p>
        </w:tc>
        <w:tc>
          <w:tcPr>
            <w:tcW w:w="2310" w:type="dxa"/>
            <w:gridSpan w:val="7"/>
          </w:tcPr>
          <w:p>
            <w:pPr/>
            <w:r>
              <w:rPr>
                <w:lang w:val="zh-CN"/>
                <w:rFonts w:ascii="Times New Roman" w:hAnsi="Times New Roman" w:cs="Times New Roman"/>
                <w:b/>
                <w:color w:val="000000"/>
              </w:rPr>
              <w:t>西双版纳——原始森林公园—昆明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傣家村寨】，漫步在热带雨林怀抱中的傣家村寨、你会发现、四周翠竹围绕、绿树成荫、这就是最真实、最质朴的西双版纳、原始民族村寨的独有风情、静静的传承了数千年。逛傣家水果市场。乘车前往【原始森林公园】（电瓶车60元/人.自理），原始森林公园在25000亩热带沟谷雨林的基础上创建，也是保存最完整的一片原始森林，融汇了独特的原始森林自然风光和迷人的民族风情，在这里聆听金湖美丽的爱情故事，欣赏数百只孔雀飞舞的奇观，在沟谷雨林悠然漫步，体验雨林环抱中的绿色生活。晚上根据动车时间送动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2024/04/15</w:t>
            </w:r>
          </w:p>
        </w:tc>
        <w:tc>
          <w:tcPr>
            <w:tcW w:w="2310" w:type="dxa"/>
            <w:gridSpan w:val="7"/>
          </w:tcPr>
          <w:p>
            <w:pPr/>
            <w:r>
              <w:rPr>
                <w:lang w:val="zh-CN"/>
                <w:rFonts w:ascii="Times New Roman" w:hAnsi="Times New Roman" w:cs="Times New Roman"/>
                <w:b/>
                <w:color w:val="000000"/>
              </w:rPr>
              <w:t>昆明—温馨家园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早餐后参观散客集散中心，自由参观。根据您的火车时刻送团，结束愉快的春城之旅。特别提示：返程时间中午13点之前自愿放弃集散，加100元/人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邢丽娟</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2024/4/6 10:40:26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