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西充县巴蜀旅行社有限公司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吴永龙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13890810207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游游江山</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YN20230416庞琳04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【乐游版纳】昆明普洱版纳纯玩6天之旅</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2023-04-16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2023-04-21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10(10大)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2023-04-16 MU5437 南充→昆明 12:40-14:15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2023-04-21 MU5438 昆明→南充 15:40-17:4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1、邓翠蓉</w:t>
            </w:r>
          </w:p>
        </w:tc>
        <w:tc>
          <w:tcPr>
            <w:tcW w:w="2310" w:type="dxa"/>
            <w:vAlign w:val="center"/>
            <w:gridSpan w:val="2"/>
          </w:tcPr>
          <w:p>
            <w:pPr/>
            <w:r>
              <w:rPr>
                <w:lang w:val="zh-CN"/>
                <w:rFonts w:ascii="Times New Roman" w:hAnsi="Times New Roman" w:cs="Times New Roman"/>
                <w:sz w:val="20"/>
                <w:szCs w:val="20"/>
                <w:color w:val="000000"/>
              </w:rPr>
              <w:t>512929196609273529</w:t>
            </w:r>
          </w:p>
        </w:tc>
        <w:tc>
          <w:tcPr>
            <w:tcW w:w="2310" w:type="dxa"/>
            <w:vAlign w:val="center"/>
          </w:tcPr>
          <w:p>
            <w:pPr/>
            <w:r>
              <w:rPr>
                <w:lang w:val="zh-CN"/>
                <w:rFonts w:ascii="Times New Roman" w:hAnsi="Times New Roman" w:cs="Times New Roman"/>
                <w:sz w:val="20"/>
                <w:szCs w:val="20"/>
                <w:color w:val="000000"/>
              </w:rPr>
              <w:t>15983750536</w:t>
            </w:r>
          </w:p>
        </w:tc>
        <w:tc>
          <w:tcPr>
            <w:tcW w:w="2310" w:type="dxa"/>
            <w:vAlign w:val="center"/>
          </w:tcPr>
          <w:p>
            <w:pPr/>
            <w:r>
              <w:rPr>
                <w:lang w:val="zh-CN"/>
                <w:rFonts w:ascii="Times New Roman" w:hAnsi="Times New Roman" w:cs="Times New Roman"/>
                <w:sz w:val="20"/>
                <w:szCs w:val="20"/>
                <w:color w:val="000000"/>
              </w:rPr>
              <w:t>2、杜超</w:t>
            </w:r>
          </w:p>
        </w:tc>
        <w:tc>
          <w:tcPr>
            <w:tcW w:w="2310" w:type="dxa"/>
            <w:vAlign w:val="center"/>
            <w:gridSpan w:val="2"/>
          </w:tcPr>
          <w:p>
            <w:pPr/>
            <w:r>
              <w:rPr>
                <w:lang w:val="zh-CN"/>
                <w:rFonts w:ascii="Times New Roman" w:hAnsi="Times New Roman" w:cs="Times New Roman"/>
                <w:sz w:val="20"/>
                <w:szCs w:val="20"/>
                <w:color w:val="000000"/>
              </w:rPr>
              <w:t>512929196702013318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3、赵晓琼</w:t>
            </w:r>
          </w:p>
        </w:tc>
        <w:tc>
          <w:tcPr>
            <w:tcW w:w="2310" w:type="dxa"/>
            <w:vAlign w:val="center"/>
            <w:gridSpan w:val="2"/>
          </w:tcPr>
          <w:p>
            <w:pPr/>
            <w:r>
              <w:rPr>
                <w:lang w:val="zh-CN"/>
                <w:rFonts w:ascii="Times New Roman" w:hAnsi="Times New Roman" w:cs="Times New Roman"/>
                <w:sz w:val="20"/>
                <w:szCs w:val="20"/>
                <w:color w:val="000000"/>
              </w:rPr>
              <w:t>512929197307213525</w:t>
            </w:r>
          </w:p>
        </w:tc>
        <w:tc>
          <w:tcPr>
            <w:tcW w:w="2310" w:type="dxa"/>
            <w:vAlign w:val="center"/>
          </w:tcPr>
          <w:p>
            <w:pPr/>
            <w:r>
              <w:rPr>
                <w:lang w:val="zh-CN"/>
                <w:rFonts w:ascii="Times New Roman" w:hAnsi="Times New Roman" w:cs="Times New Roman"/>
                <w:sz w:val="20"/>
                <w:szCs w:val="20"/>
                <w:color w:val="000000"/>
              </w:rPr>
              <w:t>18784731460</w:t>
            </w:r>
          </w:p>
        </w:tc>
        <w:tc>
          <w:tcPr>
            <w:tcW w:w="2310" w:type="dxa"/>
            <w:vAlign w:val="center"/>
          </w:tcPr>
          <w:p>
            <w:pPr/>
            <w:r>
              <w:rPr>
                <w:lang w:val="zh-CN"/>
                <w:rFonts w:ascii="Times New Roman" w:hAnsi="Times New Roman" w:cs="Times New Roman"/>
                <w:sz w:val="20"/>
                <w:szCs w:val="20"/>
                <w:color w:val="000000"/>
              </w:rPr>
              <w:t>4、朱其芬</w:t>
            </w:r>
          </w:p>
        </w:tc>
        <w:tc>
          <w:tcPr>
            <w:tcW w:w="2310" w:type="dxa"/>
            <w:vAlign w:val="center"/>
            <w:gridSpan w:val="2"/>
          </w:tcPr>
          <w:p>
            <w:pPr/>
            <w:r>
              <w:rPr>
                <w:lang w:val="zh-CN"/>
                <w:rFonts w:ascii="Times New Roman" w:hAnsi="Times New Roman" w:cs="Times New Roman"/>
                <w:sz w:val="20"/>
                <w:szCs w:val="20"/>
                <w:color w:val="000000"/>
              </w:rPr>
              <w:t>512929196910133525</w:t>
            </w:r>
          </w:p>
        </w:tc>
        <w:tc>
          <w:tcPr>
            <w:tcW w:w="2310" w:type="dxa"/>
            <w:vAlign w:val="center"/>
          </w:tcPr>
          <w:p>
            <w:pPr/>
            <w:r>
              <w:rPr>
                <w:lang w:val="zh-CN"/>
                <w:rFonts w:ascii="Times New Roman" w:hAnsi="Times New Roman" w:cs="Times New Roman"/>
                <w:sz w:val="20"/>
                <w:szCs w:val="20"/>
                <w:color w:val="000000"/>
              </w:rPr>
              <w:t>18783926910</w:t>
            </w:r>
          </w:p>
        </w:tc>
      </w:tr>
      <w:tr>
        <w:tc>
          <w:tcPr>
            <w:tcW w:w="2310" w:type="dxa"/>
            <w:vAlign w:val="center"/>
          </w:tcPr>
          <w:p>
            <w:pPr/>
            <w:r>
              <w:rPr>
                <w:lang w:val="zh-CN"/>
                <w:rFonts w:ascii="Times New Roman" w:hAnsi="Times New Roman" w:cs="Times New Roman"/>
                <w:sz w:val="20"/>
                <w:szCs w:val="20"/>
                <w:color w:val="000000"/>
              </w:rPr>
              <w:t>5、朱其洪</w:t>
            </w:r>
          </w:p>
        </w:tc>
        <w:tc>
          <w:tcPr>
            <w:tcW w:w="2310" w:type="dxa"/>
            <w:vAlign w:val="center"/>
            <w:gridSpan w:val="2"/>
          </w:tcPr>
          <w:p>
            <w:pPr/>
            <w:r>
              <w:rPr>
                <w:lang w:val="zh-CN"/>
                <w:rFonts w:ascii="Times New Roman" w:hAnsi="Times New Roman" w:cs="Times New Roman"/>
                <w:sz w:val="20"/>
                <w:szCs w:val="20"/>
                <w:color w:val="000000"/>
              </w:rPr>
              <w:t>512929196509153511</w:t>
            </w:r>
          </w:p>
        </w:tc>
        <w:tc>
          <w:tcPr>
            <w:tcW w:w="2310" w:type="dxa"/>
            <w:vAlign w:val="center"/>
          </w:tcPr>
          <w:p>
            <w:pPr/>
            <w:r>
              <w:rPr>
                <w:lang w:val="zh-CN"/>
                <w:rFonts w:ascii="Times New Roman" w:hAnsi="Times New Roman" w:cs="Times New Roman"/>
                <w:sz w:val="20"/>
                <w:szCs w:val="20"/>
                <w:color w:val="000000"/>
              </w:rPr>
              <w:t>13350654166</w:t>
            </w:r>
          </w:p>
        </w:tc>
        <w:tc>
          <w:tcPr>
            <w:tcW w:w="2310" w:type="dxa"/>
            <w:vAlign w:val="center"/>
          </w:tcPr>
          <w:p>
            <w:pPr/>
            <w:r>
              <w:rPr>
                <w:lang w:val="zh-CN"/>
                <w:rFonts w:ascii="Times New Roman" w:hAnsi="Times New Roman" w:cs="Times New Roman"/>
                <w:sz w:val="20"/>
                <w:szCs w:val="20"/>
                <w:color w:val="000000"/>
              </w:rPr>
              <w:t>6、李小平</w:t>
            </w:r>
          </w:p>
        </w:tc>
        <w:tc>
          <w:tcPr>
            <w:tcW w:w="2310" w:type="dxa"/>
            <w:vAlign w:val="center"/>
            <w:gridSpan w:val="2"/>
          </w:tcPr>
          <w:p>
            <w:pPr/>
            <w:r>
              <w:rPr>
                <w:lang w:val="zh-CN"/>
                <w:rFonts w:ascii="Times New Roman" w:hAnsi="Times New Roman" w:cs="Times New Roman"/>
                <w:sz w:val="20"/>
                <w:szCs w:val="20"/>
                <w:color w:val="000000"/>
              </w:rPr>
              <w:t>512929196710023567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7、朱春蓉</w:t>
            </w:r>
          </w:p>
        </w:tc>
        <w:tc>
          <w:tcPr>
            <w:tcW w:w="2310" w:type="dxa"/>
            <w:vAlign w:val="center"/>
            <w:gridSpan w:val="2"/>
          </w:tcPr>
          <w:p>
            <w:pPr/>
            <w:r>
              <w:rPr>
                <w:lang w:val="zh-CN"/>
                <w:rFonts w:ascii="Times New Roman" w:hAnsi="Times New Roman" w:cs="Times New Roman"/>
                <w:sz w:val="20"/>
                <w:szCs w:val="20"/>
                <w:color w:val="000000"/>
              </w:rPr>
              <w:t>511325198810103521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8、陈开碧</w:t>
            </w:r>
          </w:p>
        </w:tc>
        <w:tc>
          <w:tcPr>
            <w:tcW w:w="2310" w:type="dxa"/>
            <w:vAlign w:val="center"/>
            <w:gridSpan w:val="2"/>
          </w:tcPr>
          <w:p>
            <w:pPr/>
            <w:r>
              <w:rPr>
                <w:lang w:val="zh-CN"/>
                <w:rFonts w:ascii="Times New Roman" w:hAnsi="Times New Roman" w:cs="Times New Roman"/>
                <w:sz w:val="20"/>
                <w:szCs w:val="20"/>
                <w:color w:val="000000"/>
              </w:rPr>
              <w:t>512929195412203549</w:t>
            </w:r>
          </w:p>
        </w:tc>
        <w:tc>
          <w:tcPr>
            <w:tcW w:w="2310" w:type="dxa"/>
            <w:vAlign w:val="center"/>
          </w:tcPr>
          <w:p>
            <w:pPr/>
            <w:r>
              <w:rPr>
                <w:lang w:val="zh-CN"/>
                <w:rFonts w:ascii="Times New Roman" w:hAnsi="Times New Roman" w:cs="Times New Roman"/>
                <w:sz w:val="20"/>
                <w:szCs w:val="20"/>
                <w:color w:val="000000"/>
              </w:rPr>
              <w:t>15828486392</w:t>
            </w:r>
          </w:p>
        </w:tc>
      </w:tr>
      <w:tr>
        <w:tc>
          <w:tcPr>
            <w:tcW w:w="2310" w:type="dxa"/>
            <w:vAlign w:val="center"/>
          </w:tcPr>
          <w:p>
            <w:pPr/>
            <w:r>
              <w:rPr>
                <w:lang w:val="zh-CN"/>
                <w:rFonts w:ascii="Times New Roman" w:hAnsi="Times New Roman" w:cs="Times New Roman"/>
                <w:sz w:val="20"/>
                <w:szCs w:val="20"/>
                <w:color w:val="000000"/>
              </w:rPr>
              <w:t>9、朱春秀</w:t>
            </w:r>
          </w:p>
        </w:tc>
        <w:tc>
          <w:tcPr>
            <w:tcW w:w="2310" w:type="dxa"/>
            <w:vAlign w:val="center"/>
            <w:gridSpan w:val="2"/>
          </w:tcPr>
          <w:p>
            <w:pPr/>
            <w:r>
              <w:rPr>
                <w:lang w:val="zh-CN"/>
                <w:rFonts w:ascii="Times New Roman" w:hAnsi="Times New Roman" w:cs="Times New Roman"/>
                <w:sz w:val="20"/>
                <w:szCs w:val="20"/>
                <w:color w:val="000000"/>
              </w:rPr>
              <w:t>512929197103073540</w:t>
            </w:r>
          </w:p>
        </w:tc>
        <w:tc>
          <w:tcPr>
            <w:tcW w:w="2310" w:type="dxa"/>
            <w:vAlign w:val="center"/>
          </w:tcPr>
          <w:p>
            <w:pPr/>
            <w:r>
              <w:rPr>
                <w:lang w:val="zh-CN"/>
                <w:rFonts w:ascii="Times New Roman" w:hAnsi="Times New Roman" w:cs="Times New Roman"/>
                <w:sz w:val="20"/>
                <w:szCs w:val="20"/>
                <w:color w:val="000000"/>
              </w:rPr>
              <w:t>15998929413</w:t>
            </w:r>
          </w:p>
        </w:tc>
        <w:tc>
          <w:tcPr>
            <w:tcW w:w="2310" w:type="dxa"/>
            <w:vAlign w:val="center"/>
          </w:tcPr>
          <w:p>
            <w:pPr/>
            <w:r>
              <w:rPr>
                <w:lang w:val="zh-CN"/>
                <w:rFonts w:ascii="Times New Roman" w:hAnsi="Times New Roman" w:cs="Times New Roman"/>
                <w:sz w:val="20"/>
                <w:szCs w:val="20"/>
                <w:color w:val="000000"/>
              </w:rPr>
              <w:t>10、梁德秀</w:t>
            </w:r>
          </w:p>
        </w:tc>
        <w:tc>
          <w:tcPr>
            <w:tcW w:w="2310" w:type="dxa"/>
            <w:vAlign w:val="center"/>
            <w:gridSpan w:val="2"/>
          </w:tcPr>
          <w:p>
            <w:pPr/>
            <w:r>
              <w:rPr>
                <w:lang w:val="zh-CN"/>
                <w:rFonts w:ascii="Times New Roman" w:hAnsi="Times New Roman" w:cs="Times New Roman"/>
                <w:sz w:val="20"/>
                <w:szCs w:val="20"/>
                <w:color w:val="000000"/>
              </w:rPr>
              <w:t>512929196408023523</w:t>
            </w:r>
          </w:p>
        </w:tc>
        <w:tc>
          <w:tcPr>
            <w:tcW w:w="2310" w:type="dxa"/>
            <w:vAlign w:val="center"/>
          </w:tcPr>
          <w:p>
            <w:pPr/>
            <w:r>
              <w:rPr>
                <w:lang w:val="zh-CN"/>
                <w:rFonts w:ascii="Times New Roman" w:hAnsi="Times New Roman" w:cs="Times New Roman"/>
                <w:sz w:val="20"/>
                <w:szCs w:val="20"/>
                <w:color w:val="000000"/>
              </w:rPr>
              <w:t>15228111140</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2300.00</w:t>
            </w:r>
          </w:p>
        </w:tc>
        <w:tc>
          <w:tcPr>
            <w:tcW w:w="2310" w:type="dxa"/>
          </w:tcPr>
          <w:p>
            <w:pPr/>
            <w:r>
              <w:rPr>
                <w:lang w:val="zh-CN"/>
                <w:rFonts w:ascii="Times New Roman" w:hAnsi="Times New Roman" w:cs="Times New Roman"/>
                <w:sz w:val="20"/>
                <w:szCs w:val="20"/>
                <w:color w:val="000000"/>
              </w:rPr>
              <w:t>23000.00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总金额：贰万叁仟元整</w:t>
            </w:r>
          </w:p>
        </w:tc>
        <w:tc>
          <w:tcPr>
            <w:tcW w:w="2310" w:type="dxa"/>
            <w:textDirection w:val="right"/>
            <w:gridSpan w:val="3"/>
          </w:tcPr>
          <w:p>
            <w:pPr/>
            <w:r>
              <w:rPr>
                <w:lang w:val="zh-CN"/>
                <w:rFonts w:ascii="Times New Roman" w:hAnsi="Times New Roman" w:cs="Times New Roman"/>
                <w:b/>
                <w:color w:val="FF0000"/>
              </w:rPr>
              <w:t>23000.00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2023/04/16</w:t>
            </w:r>
          </w:p>
        </w:tc>
        <w:tc>
          <w:tcPr>
            <w:tcW w:w="2310" w:type="dxa"/>
            <w:gridSpan w:val="7"/>
          </w:tcPr>
          <w:p>
            <w:pPr/>
            <w:r>
              <w:rPr>
                <w:lang w:val="zh-CN"/>
                <w:rFonts w:ascii="Times New Roman" w:hAnsi="Times New Roman" w:cs="Times New Roman"/>
                <w:b/>
                <w:color w:val="000000"/>
              </w:rPr>
              <w:t>起始地飞机、高铁——昆明市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1、家乡出发抵达素有“春城”美誉的昆明，云南意即“彩云之南”，以其美丽、丰饶、神奇而著称于世，一向被外界称为“秘境”。2、根据航班、高铁到达时间，我们有接送组工作人员等候您接送服务，全程无障碍，一站式服务，温馨体贴；商务专车带您抵达指定酒店，办理入住手续。3、自由活动或自行闲逛昆明市区街景，去小巷品尝街头美食，都由您自己说了算。1、昆明早晚温差较大，请您注意添减衣物的准备；2、为避免出现饮食问题，请您在自行品尝美食时，选择正规的餐饮场所；3、在自由出行时，请您保管好个人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2023/04/17</w:t>
            </w:r>
          </w:p>
        </w:tc>
        <w:tc>
          <w:tcPr>
            <w:tcW w:w="2310" w:type="dxa"/>
            <w:gridSpan w:val="7"/>
          </w:tcPr>
          <w:p>
            <w:pPr/>
            <w:r>
              <w:rPr>
                <w:lang w:val="zh-CN"/>
                <w:rFonts w:ascii="Times New Roman" w:hAnsi="Times New Roman" w:cs="Times New Roman"/>
                <w:b/>
                <w:color w:val="000000"/>
              </w:rPr>
              <w:t>昆明抚仙湖景区墨江北回归园普洱—入住普洱</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1，早餐后，乘车前往中国最大的深水型淡水湖泊【抚仙湖】，这里可以欣赏到相当清澈的湖水，用“天空之境”来形容也毫不夸张。踏上环抱脚踏船，到湖中游一圈，近距离感受琉璃万顷的魅力，中餐品尝当地特色美食铜锅鱼。2，然后乘车前往北回归线穿过的墨江哈尼族自治县，【墨江北回归线标志园】（飞天魔毯敬请自理30元/人），间以“太阳之路”、“夸父追日”、“北回归线之门”、“日晷广场”、“春夏秋冬”等建筑小品，雕塑以及主体标志，创找了一个形象生动的空间系列，以科普博物馆表达对自然、生命、阳光的理解，并通过技术手段精确地展示北回归线的地理位置及变化，每年夏至均可在此“捕捉”到北回归线的身影。在此可以顺势依山漫游，感受道路曲折蜿蜒，绿树成荫，蝉鸣林间，鸟语枝头的惬意。3、乘车抵达普洱市后，晚餐体验团餐，入住指定酒店休息。1、今日乘车时间较长，请您自备部分可以充饥的零食；2、普洱属于热带地区，紫外线较强，早晚温差较大，请做好防晒和保暖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w:t>
            </w:r>
          </w:p>
        </w:tc>
      </w:tr>
      <w:tr>
        <w:tc>
          <w:tcPr>
            <w:tcW w:w="2310" w:type="dxa"/>
            <w:vAlign w:val="center"/>
            <w:vMerge w:val="restart"/>
          </w:tcPr>
          <w:p>
            <w:pPr/>
            <w:r>
              <w:rPr>
                <w:lang w:val="zh-CN"/>
                <w:rFonts w:ascii="Times New Roman" w:hAnsi="Times New Roman" w:cs="Times New Roman"/>
                <w:sz w:val="20"/>
                <w:szCs w:val="20"/>
                <w:color w:val="000000"/>
              </w:rPr>
              <w:t>2023/04/18</w:t>
            </w:r>
          </w:p>
        </w:tc>
        <w:tc>
          <w:tcPr>
            <w:tcW w:w="2310" w:type="dxa"/>
            <w:gridSpan w:val="7"/>
          </w:tcPr>
          <w:p>
            <w:pPr/>
            <w:r>
              <w:rPr>
                <w:lang w:val="zh-CN"/>
                <w:rFonts w:ascii="Times New Roman" w:hAnsi="Times New Roman" w:cs="Times New Roman"/>
                <w:b/>
                <w:color w:val="000000"/>
              </w:rPr>
              <w:t>普洱普洱森林公园 大渡岗万亩茶山—澜沧江游船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1、早餐后，乘车前往普洱游览AAAA级景区【普洱国家森林公园】（约120分钟，电瓶车敬请自理50元/人），在这里不但可以在茫茫森林中漫步零距离观赏与恐龙同时代的活化石“中华桫椤”，徘徊在各色各样的兰花中静待花开，还能欣赏到犀牛在草地上自由地奔跑，长臂猿在林间欢乐的飘荡，小熊猫在林间无拘地玩耍，各种水禽在湿地悠闲地徜徉，蝴蝶在山谷婉转起舞，鸟儿在枝头雀跃欢歌，更能细细品味让心灵私奔的美妙圣景；2、乘车前往西双版纳游览【大渡岗万亩茶园】（参观时间约90分钟小时）大渡岗拥有茶园面积约6.5万亩，其中独具特色、秀美壮观的4.2万亩世界最大规模连片茶园气势磅礴，给人一种摄人心魂的美。春雨过后，茶叶陆续发出新芽，此时的茶园，处处绿意盎然，青翠欲滴，茶树散发出的淡淡清香扑鼻而来，让人心旷神怡,沐浴在午后的阳光里。走入茶园，经过阳光的照耀，漫山遍野的绿色显得更加浓艳，茶树散发的淡淡清香扑鼻而来，让人心旷神怡。晚可自费体验参加《澜沧江游船歌舞晚会》（自费280元/人）---傣族民族特色篝火晚会、极限舞蹈、现代与少数民族完美结合、立体环绕、震撼耳鼓，色彩神秘、遐想无限，（观看时间约1.5小时）；3、入住指定酒店休息1、进入少数民族居住区，请尊重当地的民族风俗和生活习惯，保持您的贵宾风范；2、在景区景点游览时，请注意周围环境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w:t>
            </w:r>
          </w:p>
        </w:tc>
      </w:tr>
      <w:tr>
        <w:tc>
          <w:tcPr>
            <w:tcW w:w="2310" w:type="dxa"/>
            <w:vAlign w:val="center"/>
            <w:vMerge w:val="restart"/>
          </w:tcPr>
          <w:p>
            <w:pPr/>
            <w:r>
              <w:rPr>
                <w:lang w:val="zh-CN"/>
                <w:rFonts w:ascii="Times New Roman" w:hAnsi="Times New Roman" w:cs="Times New Roman"/>
                <w:sz w:val="20"/>
                <w:szCs w:val="20"/>
                <w:color w:val="000000"/>
              </w:rPr>
              <w:t>2023/04/19</w:t>
            </w:r>
          </w:p>
        </w:tc>
        <w:tc>
          <w:tcPr>
            <w:tcW w:w="2310" w:type="dxa"/>
            <w:gridSpan w:val="7"/>
          </w:tcPr>
          <w:p>
            <w:pPr/>
            <w:r>
              <w:rPr>
                <w:lang w:val="zh-CN"/>
                <w:rFonts w:ascii="Times New Roman" w:hAnsi="Times New Roman" w:cs="Times New Roman"/>
                <w:b/>
                <w:color w:val="000000"/>
              </w:rPr>
              <w:t>野象谷勐泐大佛寺篝火晚会西双版纳星光夜市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1、早餐后乘车前往中国野生亚洲象保护地AAAA级景区【西双版纳野象谷景区】（游览时间120-180分钟）中国唯一一处能近距离安全观测到亚洲野象的地方，这里有中国最长的高空观象走廊、中国唯一的亚洲象博物馆、有着最权威的亚洲象种源繁育及救助中心，中国最早的亚洲象学校。您可以走进神秘的高空观象走廊，呼吸着清新的空气，俯瞰谷内热带雨林全貌，穿越在热带雨林寻找亚洲象的踪迹，与亚洲象来一场亲密邂逅。1、中餐后，乘车前往游览AAAA级景区【勐泐大佛寺景区】（游览时间约120分钟，电瓶车单程敬请自理40元/人，双程60元/人）勐泐大佛寺是在古代傣王朝的皇家寺院“景飘佛寺”的原址上恢复重建的，“景飘佛寺”是古时的一位傣王为纪念病故的王妃而修建。从万佛塔前广场俯视景洪市景，旖旎的热带风光尽收眼底，可以在里面尽情感受泼水表演以及孔雀放飞活动；乘车前往体验西双版纳网红打卡地【告庄西双景星光夜市、湄公河.六国水上市场小泰国】素有“小泰国”之称告庄夜景、特色民族文化融为一体的旅游圣地游玩打卡；晚可自费体验参加《勐巴拉娜西大型歌舞晚会》（自费280元/人）---极限舞蹈、现代与少数民族完美结合、立体环绕、震撼耳鼓，色彩神秘、遐想无限，（观看时间约1.5小时）；4、行程结束返回市区入住指定酒店在景区景点游览时，请注意周围环境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w:t>
            </w:r>
          </w:p>
        </w:tc>
      </w:tr>
      <w:tr>
        <w:tc>
          <w:tcPr>
            <w:tcW w:w="2310" w:type="dxa"/>
            <w:vAlign w:val="center"/>
            <w:vMerge w:val="restart"/>
          </w:tcPr>
          <w:p>
            <w:pPr/>
            <w:r>
              <w:rPr>
                <w:lang w:val="zh-CN"/>
                <w:rFonts w:ascii="Times New Roman" w:hAnsi="Times New Roman" w:cs="Times New Roman"/>
                <w:sz w:val="20"/>
                <w:szCs w:val="20"/>
                <w:color w:val="000000"/>
              </w:rPr>
              <w:t>2023/04/20</w:t>
            </w:r>
          </w:p>
        </w:tc>
        <w:tc>
          <w:tcPr>
            <w:tcW w:w="2310" w:type="dxa"/>
            <w:gridSpan w:val="7"/>
          </w:tcPr>
          <w:p>
            <w:pPr/>
            <w:r>
              <w:rPr>
                <w:lang w:val="zh-CN"/>
                <w:rFonts w:ascii="Times New Roman" w:hAnsi="Times New Roman" w:cs="Times New Roman"/>
                <w:b/>
                <w:color w:val="000000"/>
              </w:rPr>
              <w:t>西双版纳美丽乡村傣族文明村昆明市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1、早餐后，游览西双版纳【美丽乡村傣族文明村】（游览时间约90分钟)，体验真实的傣家人的生活习俗，了解傣家人的历史，文化，到傣乡做客，如水的傣妹，曼妙的腰身，古朴的傣家竹楼都在这次的旅行中绵延伸展，变成一片云，一幅画，一张明信片；走进傣楼与傣家哨哆哩促膝交谈，解读古老民族的万般风情；中餐体验团餐；2、中餐后，我们乘车返回昆明市区；今晚中途晚餐体验由我们辛苦的导游人员带大家用餐，请大家尊敬我们的导游！！抵达昆明市区后，敬请您按照前面几天导游安排的房间数量入住您自己房间，入住指定酒店。（可以自费升级动车返回昆明。）景区因占地面积较大，请游客跟随好导游及团队，以免走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w:t>
            </w:r>
          </w:p>
        </w:tc>
      </w:tr>
      <w:tr>
        <w:tc>
          <w:tcPr>
            <w:tcW w:w="2310" w:type="dxa"/>
            <w:vAlign w:val="center"/>
            <w:vMerge w:val="restart"/>
          </w:tcPr>
          <w:p>
            <w:pPr/>
            <w:r>
              <w:rPr>
                <w:lang w:val="zh-CN"/>
                <w:rFonts w:ascii="Times New Roman" w:hAnsi="Times New Roman" w:cs="Times New Roman"/>
                <w:sz w:val="20"/>
                <w:szCs w:val="20"/>
                <w:color w:val="000000"/>
              </w:rPr>
              <w:t>2023/04/21</w:t>
            </w:r>
          </w:p>
        </w:tc>
        <w:tc>
          <w:tcPr>
            <w:tcW w:w="2310" w:type="dxa"/>
            <w:gridSpan w:val="7"/>
          </w:tcPr>
          <w:p>
            <w:pPr/>
            <w:r>
              <w:rPr>
                <w:lang w:val="zh-CN"/>
                <w:rFonts w:ascii="Times New Roman" w:hAnsi="Times New Roman" w:cs="Times New Roman"/>
                <w:b/>
                <w:color w:val="000000"/>
              </w:rPr>
              <w:t>昆明游客集散中心 飞机、高铁——起始地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1、早餐后，敬请您准时在酒店大堂集合，前往【游客散客集散中心】体验（体验约180分钟），后我们热心接送组工作人员根据您的航班时间、高铁时间，送您去机场、高铁站，返回温馨的家园，结束愉快的云南.西双版纳旅途！2、（备注：限12:30之后的航班、高铁时间前往游客集散中心）今日为行程结束日，请旅客检查好所带行李及随身物品，以免遗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参考酒店如下：昆明酒店：春秋酒店、广源酒店、华腾酒店、星河酒店或同级普洱酒店：荷塘月色主题酒店、美强大酒店、盛逸酒店、友庆酒店或同级西双版纳酒店：文科酒店、亦城国际酒店、喆啡酒店、恒蕴酒店或同级昆明温泉酒店：华都温泉酒店、云都温泉酒店、恒亿温泉酒店、尚晨温泉酒店温馨提示：告庄酒店如遇旺季更改为同级周边酒店不能安排备选酒店时，我社有权安排同级别、同标准的其他酒店。第一天早餐：不含餐午餐：不含餐晚餐：不含餐第二天早餐：酒店自助餐午餐：抚仙湖铜锅鱼晚餐：团队餐第三天早餐：酒店自助餐午餐：特色素食大象餐晚餐：不含餐第四天早餐：酒店自助餐午餐：团队餐晚餐：不含餐第五天早餐：酒店自助餐午餐：特色孔雀宴晚餐：团队餐第六天早餐：酒店自助餐午餐：不含餐晚餐：不含餐1、住宿：全程入住指定酒店；2、门票：行程中所涉及景区首道门票；（景区景交自理）3、餐饮：行程中包含5早、6正餐，用餐标准为正餐30元/人，特色餐404、车辆：三年内合法空调旅游车辆，确保一人一正座；5、导游：持有国家颁发的导游资格证、行程作息由随团导游安排；安全：旅行社已为游客购买云南旅游组合保险（旅行社责任险），请游客自行购买旅游意外伤害险。儿童安排包含：正餐半餐、车位费不含：门票、床位费、早餐费（早餐费按入住酒店收费规定，由家长现付！）</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游览区域部分可徒步游览，但景区内设有代步交通工具，根据游客意愿（自费）选择到售票处购票。备注：人力不可抗拒的因素，根据行程时间和内容，导游有权可自行安排游览顺序。1、北标园30元/人、普洱森林电瓶车50元/人、勐泐大佛寺电瓶车单程40元/人，双程60元/人2、勐巴拉娜西大型歌舞晚会（自费280元/人）、澜沧江夜游船（自费280元/人）赠送的项目须知：特殊情况或自愿放弃的费用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吴永龙</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2023/4/3 15:59:19</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