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营山万美旅游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18990855000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YN20240414庞琳09</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云南11城大全景    纯玩15日游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2024-04-14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2024-04-27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9(9大)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2024-04-14 D257 成都南→昆明 13:10-20:3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1、苟延英</w:t>
            </w:r>
          </w:p>
        </w:tc>
        <w:tc>
          <w:tcPr>
            <w:tcW w:w="2310" w:type="dxa"/>
            <w:vAlign w:val="center"/>
            <w:gridSpan w:val="2"/>
          </w:tcPr>
          <w:p>
            <w:pPr/>
            <w:r>
              <w:rPr>
                <w:lang w:val="zh-CN"/>
                <w:rFonts w:ascii="Times New Roman" w:hAnsi="Times New Roman" w:cs="Times New Roman"/>
                <w:sz w:val="20"/>
                <w:szCs w:val="20"/>
                <w:color w:val="000000"/>
              </w:rPr>
              <w:t>512924196106270025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2、李淑明</w:t>
            </w:r>
          </w:p>
        </w:tc>
        <w:tc>
          <w:tcPr>
            <w:tcW w:w="2310" w:type="dxa"/>
            <w:vAlign w:val="center"/>
            <w:gridSpan w:val="2"/>
          </w:tcPr>
          <w:p>
            <w:pPr/>
            <w:r>
              <w:rPr>
                <w:lang w:val="zh-CN"/>
                <w:rFonts w:ascii="Times New Roman" w:hAnsi="Times New Roman" w:cs="Times New Roman"/>
                <w:sz w:val="20"/>
                <w:szCs w:val="20"/>
                <w:color w:val="000000"/>
              </w:rPr>
              <w:t>512924195403230041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3、石素华</w:t>
            </w:r>
          </w:p>
        </w:tc>
        <w:tc>
          <w:tcPr>
            <w:tcW w:w="2310" w:type="dxa"/>
            <w:vAlign w:val="center"/>
            <w:gridSpan w:val="2"/>
          </w:tcPr>
          <w:p>
            <w:pPr/>
            <w:r>
              <w:rPr>
                <w:lang w:val="zh-CN"/>
                <w:rFonts w:ascii="Times New Roman" w:hAnsi="Times New Roman" w:cs="Times New Roman"/>
                <w:sz w:val="20"/>
                <w:szCs w:val="20"/>
                <w:color w:val="000000"/>
              </w:rPr>
              <w:t>512924196610022928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4、刘元辉</w:t>
            </w:r>
          </w:p>
        </w:tc>
        <w:tc>
          <w:tcPr>
            <w:tcW w:w="2310" w:type="dxa"/>
            <w:vAlign w:val="center"/>
            <w:gridSpan w:val="2"/>
          </w:tcPr>
          <w:p>
            <w:pPr/>
            <w:r>
              <w:rPr>
                <w:lang w:val="zh-CN"/>
                <w:rFonts w:ascii="Times New Roman" w:hAnsi="Times New Roman" w:cs="Times New Roman"/>
                <w:sz w:val="20"/>
                <w:szCs w:val="20"/>
                <w:color w:val="000000"/>
              </w:rPr>
              <w:t>512924196501152950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5、李明均</w:t>
            </w:r>
          </w:p>
        </w:tc>
        <w:tc>
          <w:tcPr>
            <w:tcW w:w="2310" w:type="dxa"/>
            <w:vAlign w:val="center"/>
            <w:gridSpan w:val="2"/>
          </w:tcPr>
          <w:p>
            <w:pPr/>
            <w:r>
              <w:rPr>
                <w:lang w:val="zh-CN"/>
                <w:rFonts w:ascii="Times New Roman" w:hAnsi="Times New Roman" w:cs="Times New Roman"/>
                <w:sz w:val="20"/>
                <w:szCs w:val="20"/>
                <w:color w:val="000000"/>
              </w:rPr>
              <w:t>512924197005210028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6、黄昌芹</w:t>
            </w:r>
          </w:p>
        </w:tc>
        <w:tc>
          <w:tcPr>
            <w:tcW w:w="2310" w:type="dxa"/>
            <w:vAlign w:val="center"/>
            <w:gridSpan w:val="2"/>
          </w:tcPr>
          <w:p>
            <w:pPr/>
            <w:r>
              <w:rPr>
                <w:lang w:val="zh-CN"/>
                <w:rFonts w:ascii="Times New Roman" w:hAnsi="Times New Roman" w:cs="Times New Roman"/>
                <w:sz w:val="20"/>
                <w:szCs w:val="20"/>
                <w:color w:val="000000"/>
              </w:rPr>
              <w:t>512924196111231338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7、李春玉</w:t>
            </w:r>
          </w:p>
        </w:tc>
        <w:tc>
          <w:tcPr>
            <w:tcW w:w="2310" w:type="dxa"/>
            <w:vAlign w:val="center"/>
            <w:gridSpan w:val="2"/>
          </w:tcPr>
          <w:p>
            <w:pPr/>
            <w:r>
              <w:rPr>
                <w:lang w:val="zh-CN"/>
                <w:rFonts w:ascii="Times New Roman" w:hAnsi="Times New Roman" w:cs="Times New Roman"/>
                <w:sz w:val="20"/>
                <w:szCs w:val="20"/>
                <w:color w:val="000000"/>
              </w:rPr>
              <w:t>512924196411091349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8、郑荣英</w:t>
            </w:r>
          </w:p>
        </w:tc>
        <w:tc>
          <w:tcPr>
            <w:tcW w:w="2310" w:type="dxa"/>
            <w:vAlign w:val="center"/>
            <w:gridSpan w:val="2"/>
          </w:tcPr>
          <w:p>
            <w:pPr/>
            <w:r>
              <w:rPr>
                <w:lang w:val="zh-CN"/>
                <w:rFonts w:ascii="Times New Roman" w:hAnsi="Times New Roman" w:cs="Times New Roman"/>
                <w:sz w:val="20"/>
                <w:szCs w:val="20"/>
                <w:color w:val="000000"/>
              </w:rPr>
              <w:t>511322196702161208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9、李莉</w:t>
            </w:r>
          </w:p>
        </w:tc>
        <w:tc>
          <w:tcPr>
            <w:tcW w:w="2310" w:type="dxa"/>
            <w:vAlign w:val="center"/>
            <w:gridSpan w:val="2"/>
          </w:tcPr>
          <w:p>
            <w:pPr/>
            <w:r>
              <w:rPr>
                <w:lang w:val="zh-CN"/>
                <w:rFonts w:ascii="Times New Roman" w:hAnsi="Times New Roman" w:cs="Times New Roman"/>
                <w:sz w:val="20"/>
                <w:szCs w:val="20"/>
                <w:color w:val="000000"/>
              </w:rPr>
              <w:t>512924196004131024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9</w:t>
            </w:r>
          </w:p>
        </w:tc>
        <w:tc>
          <w:tcPr>
            <w:tcW w:w="2310" w:type="dxa"/>
          </w:tcPr>
          <w:p>
            <w:pPr/>
            <w:r>
              <w:rPr>
                <w:lang w:val="zh-CN"/>
                <w:rFonts w:ascii="Times New Roman" w:hAnsi="Times New Roman" w:cs="Times New Roman"/>
                <w:sz w:val="20"/>
                <w:szCs w:val="20"/>
                <w:color w:val="000000"/>
              </w:rPr>
              <w:t>2430.00</w:t>
            </w:r>
          </w:p>
        </w:tc>
        <w:tc>
          <w:tcPr>
            <w:tcW w:w="2310" w:type="dxa"/>
          </w:tcPr>
          <w:p>
            <w:pPr/>
            <w:r>
              <w:rPr>
                <w:lang w:val="zh-CN"/>
                <w:rFonts w:ascii="Times New Roman" w:hAnsi="Times New Roman" w:cs="Times New Roman"/>
                <w:sz w:val="20"/>
                <w:szCs w:val="20"/>
                <w:color w:val="000000"/>
              </w:rPr>
              <w:t>21870.00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营山-成都火车票</w:t>
            </w:r>
          </w:p>
        </w:tc>
        <w:tc>
          <w:tcPr>
            <w:tcW w:w="2310" w:type="dxa"/>
          </w:tcPr>
          <w:p>
            <w:pPr/>
            <w:r>
              <w:rPr>
                <w:lang w:val="zh-CN"/>
                <w:rFonts w:ascii="Times New Roman" w:hAnsi="Times New Roman" w:cs="Times New Roman"/>
                <w:sz w:val="20"/>
                <w:szCs w:val="20"/>
                <w:color w:val="000000"/>
              </w:rPr>
              <w:t>9</w:t>
            </w:r>
          </w:p>
        </w:tc>
        <w:tc>
          <w:tcPr>
            <w:tcW w:w="2310" w:type="dxa"/>
          </w:tcPr>
          <w:p>
            <w:pPr/>
            <w:r>
              <w:rPr>
                <w:lang w:val="zh-CN"/>
                <w:rFonts w:ascii="Times New Roman" w:hAnsi="Times New Roman" w:cs="Times New Roman"/>
                <w:sz w:val="20"/>
                <w:szCs w:val="20"/>
                <w:color w:val="000000"/>
              </w:rPr>
              <w:t>76.00</w:t>
            </w:r>
          </w:p>
        </w:tc>
        <w:tc>
          <w:tcPr>
            <w:tcW w:w="2310" w:type="dxa"/>
          </w:tcPr>
          <w:p>
            <w:pPr/>
            <w:r>
              <w:rPr>
                <w:lang w:val="zh-CN"/>
                <w:rFonts w:ascii="Times New Roman" w:hAnsi="Times New Roman" w:cs="Times New Roman"/>
                <w:sz w:val="20"/>
                <w:szCs w:val="20"/>
                <w:color w:val="000000"/>
              </w:rPr>
              <w:t>684.00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成都-营山动车票</w:t>
            </w:r>
          </w:p>
        </w:tc>
        <w:tc>
          <w:tcPr>
            <w:tcW w:w="2310" w:type="dxa"/>
          </w:tcPr>
          <w:p>
            <w:pPr/>
            <w:r>
              <w:rPr>
                <w:lang w:val="zh-CN"/>
                <w:rFonts w:ascii="Times New Roman" w:hAnsi="Times New Roman" w:cs="Times New Roman"/>
                <w:sz w:val="20"/>
                <w:szCs w:val="20"/>
                <w:color w:val="000000"/>
              </w:rPr>
              <w:t>9</w:t>
            </w:r>
          </w:p>
        </w:tc>
        <w:tc>
          <w:tcPr>
            <w:tcW w:w="2310" w:type="dxa"/>
          </w:tcPr>
          <w:p>
            <w:pPr/>
            <w:r>
              <w:rPr>
                <w:lang w:val="zh-CN"/>
                <w:rFonts w:ascii="Times New Roman" w:hAnsi="Times New Roman" w:cs="Times New Roman"/>
                <w:sz w:val="20"/>
                <w:szCs w:val="20"/>
                <w:color w:val="000000"/>
              </w:rPr>
              <w:t>76.00</w:t>
            </w:r>
          </w:p>
        </w:tc>
        <w:tc>
          <w:tcPr>
            <w:tcW w:w="2310" w:type="dxa"/>
          </w:tcPr>
          <w:p>
            <w:pPr/>
            <w:r>
              <w:rPr>
                <w:lang w:val="zh-CN"/>
                <w:rFonts w:ascii="Times New Roman" w:hAnsi="Times New Roman" w:cs="Times New Roman"/>
                <w:sz w:val="20"/>
                <w:szCs w:val="20"/>
                <w:color w:val="000000"/>
              </w:rPr>
              <w:t>684.00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总金额：贰万叁仟贰佰叁拾捌元整</w:t>
            </w:r>
          </w:p>
        </w:tc>
        <w:tc>
          <w:tcPr>
            <w:tcW w:w="2310" w:type="dxa"/>
            <w:textDirection w:val="right"/>
            <w:gridSpan w:val="3"/>
          </w:tcPr>
          <w:p>
            <w:pPr/>
            <w:r>
              <w:rPr>
                <w:lang w:val="zh-CN"/>
                <w:rFonts w:ascii="Times New Roman" w:hAnsi="Times New Roman" w:cs="Times New Roman"/>
                <w:b/>
                <w:color w:val="FF0000"/>
              </w:rPr>
              <w:t>23238.00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2024/04/14</w:t>
            </w:r>
          </w:p>
        </w:tc>
        <w:tc>
          <w:tcPr>
            <w:tcW w:w="2310" w:type="dxa"/>
            <w:gridSpan w:val="7"/>
          </w:tcPr>
          <w:p>
            <w:pPr/>
            <w:r>
              <w:rPr>
                <w:lang w:val="zh-CN"/>
                <w:rFonts w:ascii="Times New Roman" w:hAnsi="Times New Roman" w:cs="Times New Roman"/>
                <w:b/>
                <w:color w:val="000000"/>
              </w:rPr>
              <w:t>成都-昆明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D1重庆西站乘坐火车或高铁赴昆明,抵达后入住酒店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早餐：；午餐：；晚餐：；住宿：昆明</w:t>
            </w:r>
          </w:p>
        </w:tc>
      </w:tr>
      <w:tr>
        <w:tc>
          <w:tcPr>
            <w:tcW w:w="2310" w:type="dxa"/>
            <w:vAlign w:val="center"/>
            <w:vMerge w:val="restart"/>
          </w:tcPr>
          <w:p>
            <w:pPr/>
            <w:r>
              <w:rPr>
                <w:lang w:val="zh-CN"/>
                <w:rFonts w:ascii="Times New Roman" w:hAnsi="Times New Roman" w:cs="Times New Roman"/>
                <w:sz w:val="20"/>
                <w:szCs w:val="20"/>
                <w:color w:val="000000"/>
              </w:rPr>
              <w:t>2024/04/15</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五朵金花”的故乡——【大理】，中餐品尝大理特色【砂锅鱼】，前往【双廊古镇】，欣赏【洱海】风光。双廊古镇位于大理市东北端，西眺十九峰，临洱海万倾碧波，东靠“佛教胜地”鸡足山，南接“蓬莱仙岛”小普陀，是云南省省级历史文化名镇，也是国家4A级旅游景区“南诏风情岛”的所在地。洱海有三岛、四洲、五湖、九曲之胜景，双廊处在“萝莳曲”、“莲花曲”两曲交界，居沙洲之上，沙洲又有南诏风情岛、玉几岛分列其左右，且“双曲”环抱“双岛”故而得名“双廊”。双廊自然资源丰富，名山胜水及人文景物丰厚，自古就是名人学者滞留的地方。得天独厚的区位优势和地理环境以及丰富多彩的民族民俗风情，被誉为“苍洱风光第一镇”。之后前往【丽江】，游览【丽江古城.四方街】古城青石地面悠悠放光，当年马锅头的马蹄印仍在青石地面上。雪山依傍之下，小桥流水又在诉说着曾是江南的风光。在古城中寻味民族的纯朴文化，体验小桥流水闲适，感受丽江的酒吧文化。晚餐不含，自由品尝古城内小吃。古城属于自由活动，注意安全，导游不陪同，结束自行返回酒店，入住酒店。早中x丽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2024/04/16</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离天堂最近的地方”【香格里拉】。沿滇藏公路一直前行，抵达【长江第一湾观景台】，停车拍照10分钟。之后沿着滇藏公路继续前进到达“世界峡谷之最”【虎跳峡】，虎跳峡以“险”名天下。游客身入谷中，看天一条缝，看江一条龙；头顶绝壁，脚临激流，心惊胆颤。由于山岩的断层塌陷，造成无数石梁跌坎，形成江中礁石林立，犬牙交错，险滩密布，飞瀑荟萃。是中国最深的峡谷之一！前往香格里拉【独克宗古城】，中国保存得最好、最大的藏民居群，而且是茶马古道的枢纽。独克宗古城是一座具有1300多年历史的古城，曾是雪域藏乡和滇域民族文化交流的窗口，川藏滇地区经济贸易的纽带。晚餐品尝香格里拉特色【藏族土司宴】，藏民为游客献哈达，拍照等仪式感满满，藏族美食应有尽有。吃饭的同时，可以欣赏民族舞蹈，民族音乐，载歌载舞，太平盛世。宴会结束后可以参加室外的【篝火晚会】，可以尽情跳舞、唱歌，感受到藏民的豪迈和美丽。扎西德勒。早中晚香格里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2024/04/17</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香巴拉时轮坛城】（或者松赞林寺藏文化中心），时轮坛城是人们了解藏文化的解码地和时空隧道，“香巴拉”梵文音译为“极乐世界”，藏语译为香格里拉。时轮坛城结合了天时地利人和的优势，里面的千幅藏传文化的唐卡至今已有1300多年历史，是广大游客的必游之地，有着千年历史的《四部医典》展示了藏族群众远古时代治疗病痛的神奇秘方。前往游览【纳帕海草原】，在香格里拉，有一个特殊的景区叫做“纳帕海”。尽管它的名字是“海”，但实际上这里是一片美丽的湿地草原。在这里，草原与湖泊交相辉映，让人仿佛置身于一个神奇的世界中。在水量较少的时候，纳帕海是一片广袤的草原，绿草如茵，风景宜人。而当水量增多的时候，草原变成了湖泊，湖面波光粼粼，倒影着蓝天白云，美不胜收。这种草原与湖泊相互交融的景象，让人惊叹不已。之后返回丽江，游览【白沙古镇】，古镇北临玉龙雪山，南至龙泉，西依芝山，是纳西族的古都、世界级“古纳西王国，曾经是纳西族丽江政治、经济、商贸和文化的中心。作为纳西族文化的重要发源地之一。游览雪山倒影公园【丽江黑龙潭公园】，黑龙潭（又名玉泉公园）始建于乾隆二年（1737），其后乾隆六十年、光绪十八年均有重修记载。旧名玉泉龙王庙，因获清朝嘉庆、光绪两朝皇帝敕封“龙神”而得名，后改称黑龙潭。位于城北象山脚下，从丽江古城四方街沿经纬纵横的玉河溯流而上，约行一公里有一处晶莹清澈的泉潭，即为中外闻名的黑龙潭。早中x丽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2024/04/18</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束河古镇】（被CCTV评为中国魅力古镇之一），束河古镇是纳西先民在丽江坝子中最早的聚居地之一，是茶马古道上保存完好的重要集镇，也是纳西先民从农耕文明向商业文明过渡的活标本，是对外开放和马帮活动形成的集镇建设典范。中餐品尝丽江特色【高原药膳餐】。之后出发前往东方女儿国——【泸沽湖】（驴友们评价云南最受欢迎的景点），沿途观赏金沙江河谷风光及小凉山风光，原始的纳西村庄与彝族村寨，到达【泸沽湖观景台】，欣赏风景如画的泸沽湖全景，您即将看到中国最美的湖泊，它已经等您几亿年了，终于等到您啦，在这里您不用拍照技术都能拍出最美的照片，参观完泸沽湖风景后，我们热情的摩梭人民，拿出招待贵宾用的【摩梭走婚宴】，用它来招待远方来的贵客们，酒足饭饱后，您可以参加摩梭人民举行的盛大的【篝火晚会】，和我们的帅哥美女一起欢呼吧！早中晚泸沽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2024/04/19</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抵达摩梭人家【体验摩梭文化】，摩梭家庭是泸沽湖一个重要的体验摩梭文化方式，摩梭人是现存的最后一个母系氏族，家里所有贵重物品以及事情都由祖母掌管和决定，摩梭人实行男不娶，女不嫁的走婚方式，走婚后男方要送女方猪膘肉，银饰品等作为礼品送到女方家，有小孩后由舅舅抚养，所以舅舅为大。前往泸沽湖标志景点——【草海】，【走婚桥】自由活动，走婚桥位于泸沽湖东南水域的草海区域，是泸沽湖上唯一的座桥它是摩梭少男少女走婚的永恒记亿，参观完泸沽湖风景后，乘车返回大理，前往游览【大理古城、洋人街】,大理古城位于风光秀丽的苍山脚下，是古代南诏国和大理国的都城。风花雪月之城，空灵而宁静，苍山洱海古城一切和谐的融为一体。这里是个适合生活的地方，当地人日出而作日落而息，闲时养花草晒太阳，加之阳光明媚温度适宜，吸引游客无数。逛逛【复兴路】，复兴路是古城的一条步行街，聚集在【洋人街】和【人民路】一带，这里有超多的特色酒吧和小咖啡馆，有些店里还有驻场歌手或者游人的即兴演出，热闹非凡。入住酒店。早中x大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2024/04/20</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芒市】，中餐品尝特色【孔雀宴】。乘车前往游览【勐焕大金塔】，勐焕大金塔是芒市标志性的建筑，也是生活在这里的傣族人民的圣地。勐焕大金塔是中国第一金佛塔，亚洲第一空心佛塔。远远的就可以看到金光灿灿的大金塔，与傣族村落和亚热带的大自然景色构成和谐统一的优美风光，传奇而迷离，站在山顶还可以看到芒市的全景。乘车前往【瑞丽】，参观【中缅姐告口岸】，“姐告”，系傣语“旧城”之意。相传，明代思南王将麓川都城由姐兰迁此，故而得名。姐告口岸在距离瑞丽市区东南4公里，瑞丽江的东岸，面积1.92平方公里，与缅甸木姐镇紧紧相连，是瑞丽市跨江唯一的村镇，陆路直接与缅甸相连，历史上称为“飞地”。过去渡江仅靠竹筏、木舟摆渡，1989年修建跨江的姐告大桥，连通两岸。这里是中国对缅甸贸易最大的陆地口岸，共有国门、货场、中缅街三条通道。在因新冠疫情关闭1012天后，瑞丽姐告口岸于1月8日恢复通关。游览【国门】，它是320国道的终点。参观位于滇缅公路和史迪文公路交汇处的【天涯地角】。早中x瑞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2024/04/21</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极边之城——【腾冲】，乘车赴三大地热公园之一的【热海公园】，整个景区青山环抱，有澡塘河沿山势燃蜒而过，形成了景点错落分布，立体结构的特色。热海的地效显示特征为喷气孔、冒气地面、热沸泉、喷泉、热水泉、热水喷爆和毒气孔7种景观，其中具较高观赏价值的有大滚锅、热龙抱珠、鼓鸣泉、珍珠泉、眼镜泉、怀胎并、仙人澡塘、热辐地、狮子头、蛤蟆嘴、澡塘河瀑布和醉鸟井等。这些景点千姿百态，妙趣横生，尤以大滚锅、之壮美最为罕见。中餐品尝特色【腾冲雪鸡宴】。前往参观【云南腾冲银杏村】，内有两千多亩连片栽种的银杏树。九月底至十二月，小山村被高大的银杏树包裹得一片金黄，满地的银杏叶就如金色的地毯铺满村里的大小院落，风景绝美。此外，这里还有神奇的江东山古溶洞、秀丽的龙川江小江峡、神秘的古战场“鬼磨针”沧桑的石门古栈道、怪石嶙峋的莲花山等景点。这里的银杏村树龄大多都有上百年的时间，江东村已成为腾冲秋末最受欢迎的目的地。这可能是云南最大最集中最古老的一片银杏林。据说江东村的村民都从中原移居过来的，这里的皮影文化已有600多年历史。古银杏村还曾是电影《武侠》的拍摄地之一。江东村房前屋后到处都有大大小小的银杏树，到了这里“满地的黄金”，清晨和傍晚最是舒服。银杏树都比较高，爱摄影的带上一支长焦镜头，拍摄既能避开人群，还能拍到银杏黄叶的特写。特别安排【腾冲温泉】，到了腾冲，泡一把温泉，除了感受暖暖的泉水，还能体会到夏日的热情。腾冲有大大小小的地热温泉无数个，而且腾冲的温泉是实打实的天然温泉。泡温泉，是腾冲人最爱的养生项目。【自带泳衣】。结束后入住酒店。若银杏叶在该季节全部落完，则改景点为【和顺古镇】，门票差价现补。游览【和顺古镇】，和顺镇位于云南省腾冲县城西南四公里处，四面火山环绕，山上名木古树郁郁葱葱，涛声阵阵；蜿蜒的大盈江水白练般镶嵌在广袤的稻浪、黄花之间，静谧而又耀眼；一泓绕村碧水，鱼翔浅底，河畔古柳如烟；湿地、龙潭、峡谷，鹭鸶、野鸭、老牛，梅花、茶花、稻花，活现了恬静的世外桃源。六百余年来，中原文化为主流的和顺，兼收并蓄，成为了中华文明与南亚、西方交融的窗口。早中晚腾冲</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2024/04/22</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瞻仰【国殇墓园】、【滇西抗战纪念馆】（若遇周一闭馆时改调整景点顺序安排），在气势雄浑的叠水河边，长眠着中国远征军二十集团军的八英灵，在中国远征军收复滇西、策应密支那抗日作战取得胜利之后，为纪念攻克腾冲的第二十集团军阵亡将士而修建的烈士陵园，今天我们走进国殇墓园，打开尘封的记忆，见证缅怀历史。中餐品尝特色【腾冲土锅子宴】，后由腾冲返回楚雄，沿途可欣赏两边高黎贡山壮阔风光，途径亚洲山区较大的钢箱梁悬索桥【龙江大桥】（在停车区观景拍照20分钟），大桥总长2470.58米，一头连着魏魏高黎贡山，一头连着极边腾冲，这座与美国金门大桥一样设计，号称云南醉美路桥。到达后安排入住酒店。晚上前往【彝人古镇】，在彝人古镇，每天晚上彝族人民会穿着盛装，唱响彝家调，跳起左脚舞，迎接客人的到来。六祖广场上，民间艺人喷雷火、耍火把，特技展示；葫芦长廊里，感受彝族月琴、三弦的旋律，聆听彝家情歌对唱。早中晚楚雄</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2024/04/23</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昆明，游览【游客集散中心】，您可以挑选中意的云南鲜花、干花、植物精油等土特产，作为伴手礼回家馈赠亲友，分享旅程的快乐。前往游览【滇池风景区】——海埂大坝，远眺西山睡美人，西山北起碧鸡关，南至海口，隔水相望宛如—丰盈的女子躺卧滇池岸边，有“睡美人”山之美称。只有到海埂，您才能真切的看到西山睡美人山的容姿。面容清淅，曲线婀娜，秀发流转，与夕阳绘成一幅瑰丽的画卷。四季景色各有不同，美丽和谐。此处是候鸟的栖息地，每年的11月至次年的4月，西伯利亚的红嘴鸥会飞来此地过冬，在候鸟飞来之季游客可和红嘴鸥嘻戏拍照合影留恋。中餐品尝特色【过桥米线】。之后前往【普洱】，沿途观赏昆曼大道风光，感受“人在车中坐，车在画中行”的诗情画意。到达后导游在普洱接团，安排入住酒店。早中晚普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2024/04/24</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大渡岗万亩茶园】，大渡岗万亩茶园位于景洪市大渡岗乡国家级自然保护区边缘的山林。万亩茶园景观是全国乃至世界最大规模的茶园奇观之一，一排排整齐的茶树像梯田一样，在连绵的山岗上绵延。目前，万亩茶园正积极打造集茶园观光、休闲度假、制茶体验、娱乐康体为一体的普洱茶旅游产业。游览【野象谷风景区】,野象谷通过高空观象栈道、雨林观光索道、亚洲象博物馆、亚洲象种源繁育基地、亚洲象表演学校等多个游览项目，让游客得以在不干扰亚洲象生活的条件下安全地观察亚洲野象及其生存环境，成为中国唯一一处可以与亚洲野象近距离交流的地方，被誉为“人类与亚洲野象沟通的桥梁”。在园内观赏训练有素的大象表演有趣的节目，观蝴碟馆、百鸟园、蟒蛇园等。游览森林探险旅游区，观沟谷雨林、山地雨林、季风常绿阔叶林等。游览最美夜市【告庄星光夜市】，星光夜市是一个让人来了就不想离开的地方，每个角落都充满了“激情”和“诱惑”，每一处都显露出了告庄西双景繁华和人气的旺盛。这里更是湄公河畔最美丽的夜市，也是大金三角最具有规模、最具有特色的夜市。打卡网红地【湄公河六国水上集市】，感受在水上逛集市的新鲜与惬意，欣赏告庄星光夜市美丽的夜景。游览结束后到西双版纳入住酒店。早中x西双版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2024/04/25</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古代傣王朝皇家寺院，东南亚最大的南传佛学院【勐泐大佛寺】，攀登南莲山山顶，版纳州府景洪市全景一目望穿，仰赏吉祥大佛，参观大雄宝殿，开光诵经，佩带平安环，满足现代游客对历史、佛教文化、地域文化等进行观赏体验的需求、观看孔雀放飞、感受浴佛活动泼水节狂欢等。中餐品尝西双版纳特色餐【手抓饭】。游览【西双版纳原始森林公园】，西双版纳原始森林公园以“原始森林、野生动物、民族风情”为三大主题特色，融汇了独特的原始热带雨林自然风光和迷人的民族风情。景区内融汇了独特的原始森林自然风光和迷人的民族风情。观看野生动物表演，孔雀繁殖基地观看【孔雀放飞】活动。欣赏西双版纳多民族乐器展览，观赏民族歌舞表演。观赏亚热带雨林中植物风光，漫步热带沟谷雨林，感受神秘的原始森林气氛。早中x西双版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2024/04/26</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傣族村寨】，到傣乡做客，参观傣族人家特色民居，了解民风民俗，感受傣家风情，及傣族民间工艺银器展示，逛傣家水果市场。中餐后乘车返回昆明，沿途观赏昆曼大道热带雨林风光，版纳至昆明途中无导游，司机送贵宾至酒店。早中x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2024/04/27</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从美好的梦里醒来，(酒店叫早服务)。带着愉悦的心情在酒店餐厅享用养生早餐。我们的商务车将送你至各站，结束愉快的福满云南之旅！针对我们的精心安排和导游服务工作中的不足，请留下您的宝贵意见。感谢各位贵宾对我们工作的支持和理解，我们希望有机会再次为您服务，如果您对这次云南之行感到满意，请不要吝啬介绍给您的亲朋好友，谢谢！早xx火车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重庆-昆明往返火车硬座；2、【交通】云南全程空调旅游车；3、【景点】行程所列景点门票不含，详细请参考自费项目。4、【住宿】全程精品商务酒店（以下酒店仅供参考，如遇用房紧张，我社将安排不低于以下档次酒店，确保每人每晚一床位，如遇单男单女或单人时，游客自愿同意旅行社尽量安排三人间或加床；如无法安排三人间或加床时，游客现补单房差）；全程默认使用标间；全程单房差800元/人。5、【餐饮】13早17正，正餐25/人。6、【导服】当地持证中文导游服务；7、【儿童】12岁以下儿童游客团费含当地旅游车车位正座及半价餐。8、【其它】旅行社责任险，请游客外出注意自己个人财务及安全，如有需要帮助请及时电联导游。全程不含门票，产生自理：（由云南当地导游现收）景点60岁以下60岁（含）至69岁70岁（含）以上虎跳峡4523免丽江古城维护费505050泸沽湖7035免勐焕大金塔3820免热海公园5025免银杏村3015免野象谷6030免大佛寺4040免森林公园4525免总计42826350请随身携带身份证；若有老年证，请随身携带身份证和老年证双证。以及其他可优免门票的证件。景区小交通，自愿消费乘坐：热海公园电瓶车15元/人，银杏村电瓶车20元/人，大佛寺电瓶车40元/人，森林公园电瓶车60元/人。无指定购物店，景区、服务区、加油站、餐厅、酒店等自带的购物商店，不是旅行社指定购物店。昆明游客集散中心，属于行程需要安排，不算旅游购物店。1、所有景区内的交通工具和电瓶车索道等不含；2、出发地/火车站/飞机场的交通费用；自由活动期间交通费、餐费、等私人费用；3、因交通延误、取消等意外事件或自然灾害等不可抗拒力导致的额外费用；4、“旅游费用包含”内容以外的所有费用。5、火车抵达昆明直接参团不含早餐.1、请务必携带身份证等有效证件（请务必妥善保管）；（若因未出示或使用伪造证件导致的一切责任及后果应由游客自行承担）；如人力不可抗拒的情况下，安排不了的景点，导游协商更换景点。2、如遇不可抗力因素或航空公司航班变动、火车晚点/停运等因素，以及非旅行社责任造成的意外情形所产生的相应损失，需由客自理；3、游客须自行保管贵重物品，如游客因自身原因遗失物品，由自身负责，我社及导游有义务协助寻找或报案，但不负责赔偿；1、报名参团后，如客人退团，属毁约，我社会根据机票，地接情况收取损失，如团款不够，需客人补齐损失。2、如因天气等不可抗拒的因素造成的损失，及因此产生的新费用，均需客人自行承担，我社只起协调作用。以上两点，请仔细阅读，如无异议再签合同。3、客人需提供准确无误的名单及身份证，身份证不得过期，否则由此造成的损失由客人承担！4、失信人无法坐飞机、火车，如客人为失信人请提前告知，如知情不报产生损失和无法能团由客人自行承担！5、成人持有效期内第二代居民身份证，16周岁以下儿童持户口本正本登机；6、因我社产品属于打包优惠价格，已产生的费用一概不退；7、云南大多景区、景点内均设有购物场所，此乃景区行为。客人若有需要在这些地方购买商品，与我社无关；8、个人消费说明：非旅行社行程中安排的购物、娱乐等项目属旅游者个人消费行为，如产生纠纷或损失，旅行社不承担责任，且客人需理性购物，购物时注意商品质量及价格，并向商家索取正式发票。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10、航班问题提醒：旅行社对航班因运力、天气等因素延误、变更、取消等无法掌控。如遇此种情况，旅行社将配合客人对行程做出相应的调整，但发生损失与旅行社无关，届时敬请旅游者配合谅解；11、以上行程仅供参考，我社根据所订航班，会对行程顺序进行前后调整，但不减少景点、接待标准不变；12、行程中批注的航班、酒店、用餐等要素仅供参考，我社持有根据实际状况变更改行程的权利；请以出团通知及当地实际游览行程安排为准，敬请谅解；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14、关于行程上约定的城市之间景点之间的车程时间以无特殊情况（如堵车、下雨、下雪、修路或意外等）特殊状况出现为标准来测算的时间，如有任何一种情况发生都有可能造成时间的变化，请各位游客理解。15、关于赠送游览项目的声明：若有含门票的赠送景点均属于我社承包销售，故无优惠、免票；凡自愿放弃的或因航班时间、天气、交通情况等人力不可抗拒因素导致的不能赠送的，我社不退任何费用，还请理解;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17、云南酒店空调定时开放（不是24小时），具体情况根据当地的气候而定，烦请特别注意。18、因客人报名均为特价团，特价机票不得退改签，客人要如期出团，团进团出，出团前及走团中，因客人自身原因脱团退团，所有费用不退，且需要客人补齐脱团，退团损失，及机票损失，地接损失，费用客人承担！19、请客人认真填写意见反馈单，我社处理投诉已客人当地签署的旅游意见单为准，请如实填写，如在当地有什么意见请及时反馈与我们，以便我们能尽快解决并满足你的需求。望理解配合！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21、云南地区经济发展落后，同星级宾馆酒店规模设施落后江浙地区，一些新建的且设施较好的酒店一般位于市区周边，离市区的车程在15-20分左右（特殊原因除外），因云南气候的特殊性，冬季酒店空调定时开放或不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何娟</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15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2024/4/15 9:51:06</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