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乐天国旅火花公园门市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赵玉林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YN20240528庞琳11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昆明大理丽江版纳十日游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24(23大1小)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2024-05-28 K988 南充北→2330 07:50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1、肖长江</w:t>
            </w:r>
          </w:p>
        </w:tc>
        <w:tc>
          <w:tcPr>
            <w:tcW w:w="2310" w:type="dxa"/>
            <w:vAlign w:val="center"/>
            <w:gridSpan w:val="2"/>
          </w:tcPr>
          <w:p>
            <w:pPr/>
            <w:r>
              <w:rPr>
                <w:lang w:val="zh-CN"/>
                <w:rFonts w:ascii="Times New Roman" w:hAnsi="Times New Roman" w:cs="Times New Roman"/>
                <w:sz w:val="20"/>
                <w:szCs w:val="20"/>
                <w:color w:val="000000"/>
              </w:rPr>
              <w:t>512926195405100059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2、沈秀莲</w:t>
            </w:r>
          </w:p>
        </w:tc>
        <w:tc>
          <w:tcPr>
            <w:tcW w:w="2310" w:type="dxa"/>
            <w:vAlign w:val="center"/>
            <w:gridSpan w:val="2"/>
          </w:tcPr>
          <w:p>
            <w:pPr/>
            <w:r>
              <w:rPr>
                <w:lang w:val="zh-CN"/>
                <w:rFonts w:ascii="Times New Roman" w:hAnsi="Times New Roman" w:cs="Times New Roman"/>
                <w:sz w:val="20"/>
                <w:szCs w:val="20"/>
                <w:color w:val="000000"/>
              </w:rPr>
              <w:t>512926196203200021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3、李尚元</w:t>
            </w:r>
          </w:p>
        </w:tc>
        <w:tc>
          <w:tcPr>
            <w:tcW w:w="2310" w:type="dxa"/>
            <w:vAlign w:val="center"/>
            <w:gridSpan w:val="2"/>
          </w:tcPr>
          <w:p>
            <w:pPr/>
            <w:r>
              <w:rPr>
                <w:lang w:val="zh-CN"/>
                <w:rFonts w:ascii="Times New Roman" w:hAnsi="Times New Roman" w:cs="Times New Roman"/>
                <w:sz w:val="20"/>
                <w:szCs w:val="20"/>
                <w:color w:val="000000"/>
              </w:rPr>
              <w:t>513001195807010819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4、蒋学清</w:t>
            </w:r>
          </w:p>
        </w:tc>
        <w:tc>
          <w:tcPr>
            <w:tcW w:w="2310" w:type="dxa"/>
            <w:vAlign w:val="center"/>
            <w:gridSpan w:val="2"/>
          </w:tcPr>
          <w:p>
            <w:pPr/>
            <w:r>
              <w:rPr>
                <w:lang w:val="zh-CN"/>
                <w:rFonts w:ascii="Times New Roman" w:hAnsi="Times New Roman" w:cs="Times New Roman"/>
                <w:sz w:val="20"/>
                <w:szCs w:val="20"/>
                <w:color w:val="000000"/>
              </w:rPr>
              <w:t>512926195003010229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5、田国菊</w:t>
            </w:r>
          </w:p>
        </w:tc>
        <w:tc>
          <w:tcPr>
            <w:tcW w:w="2310" w:type="dxa"/>
            <w:vAlign w:val="center"/>
            <w:gridSpan w:val="2"/>
          </w:tcPr>
          <w:p>
            <w:pPr/>
            <w:r>
              <w:rPr>
                <w:lang w:val="zh-CN"/>
                <w:rFonts w:ascii="Times New Roman" w:hAnsi="Times New Roman" w:cs="Times New Roman"/>
                <w:sz w:val="20"/>
                <w:szCs w:val="20"/>
                <w:color w:val="000000"/>
              </w:rPr>
              <w:t>512926195510295265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6、周美辰</w:t>
            </w:r>
          </w:p>
        </w:tc>
        <w:tc>
          <w:tcPr>
            <w:tcW w:w="2310" w:type="dxa"/>
            <w:vAlign w:val="center"/>
            <w:gridSpan w:val="2"/>
          </w:tcPr>
          <w:p>
            <w:pPr/>
            <w:r>
              <w:rPr>
                <w:lang w:val="zh-CN"/>
                <w:rFonts w:ascii="Times New Roman" w:hAnsi="Times New Roman" w:cs="Times New Roman"/>
                <w:sz w:val="20"/>
                <w:szCs w:val="20"/>
                <w:color w:val="000000"/>
              </w:rPr>
              <w:t>511323200612295267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7、胡光华</w:t>
            </w:r>
          </w:p>
        </w:tc>
        <w:tc>
          <w:tcPr>
            <w:tcW w:w="2310" w:type="dxa"/>
            <w:vAlign w:val="center"/>
            <w:gridSpan w:val="2"/>
          </w:tcPr>
          <w:p>
            <w:pPr/>
            <w:r>
              <w:rPr>
                <w:lang w:val="zh-CN"/>
                <w:rFonts w:ascii="Times New Roman" w:hAnsi="Times New Roman" w:cs="Times New Roman"/>
                <w:sz w:val="20"/>
                <w:szCs w:val="20"/>
                <w:color w:val="000000"/>
              </w:rPr>
              <w:t>512926196305210028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8、陈荣松</w:t>
            </w:r>
          </w:p>
        </w:tc>
        <w:tc>
          <w:tcPr>
            <w:tcW w:w="2310" w:type="dxa"/>
            <w:vAlign w:val="center"/>
            <w:gridSpan w:val="2"/>
          </w:tcPr>
          <w:p>
            <w:pPr/>
            <w:r>
              <w:rPr>
                <w:lang w:val="zh-CN"/>
                <w:rFonts w:ascii="Times New Roman" w:hAnsi="Times New Roman" w:cs="Times New Roman"/>
                <w:sz w:val="20"/>
                <w:szCs w:val="20"/>
                <w:color w:val="000000"/>
              </w:rPr>
              <w:t>512926196111110010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9、牛开元</w:t>
            </w:r>
          </w:p>
        </w:tc>
        <w:tc>
          <w:tcPr>
            <w:tcW w:w="2310" w:type="dxa"/>
            <w:vAlign w:val="center"/>
            <w:gridSpan w:val="2"/>
          </w:tcPr>
          <w:p>
            <w:pPr/>
            <w:r>
              <w:rPr>
                <w:lang w:val="zh-CN"/>
                <w:rFonts w:ascii="Times New Roman" w:hAnsi="Times New Roman" w:cs="Times New Roman"/>
                <w:sz w:val="20"/>
                <w:szCs w:val="20"/>
                <w:color w:val="000000"/>
              </w:rPr>
              <w:t>512926195002160014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10、龙世玉</w:t>
            </w:r>
          </w:p>
        </w:tc>
        <w:tc>
          <w:tcPr>
            <w:tcW w:w="2310" w:type="dxa"/>
            <w:vAlign w:val="center"/>
            <w:gridSpan w:val="2"/>
          </w:tcPr>
          <w:p>
            <w:pPr/>
            <w:r>
              <w:rPr>
                <w:lang w:val="zh-CN"/>
                <w:rFonts w:ascii="Times New Roman" w:hAnsi="Times New Roman" w:cs="Times New Roman"/>
                <w:sz w:val="20"/>
                <w:szCs w:val="20"/>
                <w:color w:val="000000"/>
              </w:rPr>
              <w:t>512926195603130021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11、杨顺明</w:t>
            </w:r>
          </w:p>
        </w:tc>
        <w:tc>
          <w:tcPr>
            <w:tcW w:w="2310" w:type="dxa"/>
            <w:vAlign w:val="center"/>
            <w:gridSpan w:val="2"/>
          </w:tcPr>
          <w:p>
            <w:pPr/>
            <w:r>
              <w:rPr>
                <w:lang w:val="zh-CN"/>
                <w:rFonts w:ascii="Times New Roman" w:hAnsi="Times New Roman" w:cs="Times New Roman"/>
                <w:sz w:val="20"/>
                <w:szCs w:val="20"/>
                <w:color w:val="000000"/>
              </w:rPr>
              <w:t>410402194808153552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12、唐友信</w:t>
            </w:r>
          </w:p>
        </w:tc>
        <w:tc>
          <w:tcPr>
            <w:tcW w:w="2310" w:type="dxa"/>
            <w:vAlign w:val="center"/>
            <w:gridSpan w:val="2"/>
          </w:tcPr>
          <w:p>
            <w:pPr/>
            <w:r>
              <w:rPr>
                <w:lang w:val="zh-CN"/>
                <w:rFonts w:ascii="Times New Roman" w:hAnsi="Times New Roman" w:cs="Times New Roman"/>
                <w:sz w:val="20"/>
                <w:szCs w:val="20"/>
                <w:color w:val="000000"/>
              </w:rPr>
              <w:t>512926194604274794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13、冯立民</w:t>
            </w:r>
          </w:p>
        </w:tc>
        <w:tc>
          <w:tcPr>
            <w:tcW w:w="2310" w:type="dxa"/>
            <w:vAlign w:val="center"/>
            <w:gridSpan w:val="2"/>
          </w:tcPr>
          <w:p>
            <w:pPr/>
            <w:r>
              <w:rPr>
                <w:lang w:val="zh-CN"/>
                <w:rFonts w:ascii="Times New Roman" w:hAnsi="Times New Roman" w:cs="Times New Roman"/>
                <w:sz w:val="20"/>
                <w:szCs w:val="20"/>
                <w:color w:val="000000"/>
              </w:rPr>
              <w:t>512926195901255519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14、周淑珍</w:t>
            </w:r>
          </w:p>
        </w:tc>
        <w:tc>
          <w:tcPr>
            <w:tcW w:w="2310" w:type="dxa"/>
            <w:vAlign w:val="center"/>
            <w:gridSpan w:val="2"/>
          </w:tcPr>
          <w:p>
            <w:pPr/>
            <w:r>
              <w:rPr>
                <w:lang w:val="zh-CN"/>
                <w:rFonts w:ascii="Times New Roman" w:hAnsi="Times New Roman" w:cs="Times New Roman"/>
                <w:sz w:val="20"/>
                <w:szCs w:val="20"/>
                <w:color w:val="000000"/>
              </w:rPr>
              <w:t>512926196310235529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15、蒲顺清</w:t>
            </w:r>
          </w:p>
        </w:tc>
        <w:tc>
          <w:tcPr>
            <w:tcW w:w="2310" w:type="dxa"/>
            <w:vAlign w:val="center"/>
            <w:gridSpan w:val="2"/>
          </w:tcPr>
          <w:p>
            <w:pPr/>
            <w:r>
              <w:rPr>
                <w:lang w:val="zh-CN"/>
                <w:rFonts w:ascii="Times New Roman" w:hAnsi="Times New Roman" w:cs="Times New Roman"/>
                <w:sz w:val="20"/>
                <w:szCs w:val="20"/>
                <w:color w:val="000000"/>
              </w:rPr>
              <w:t>512926194510030713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16、徐常玉</w:t>
            </w:r>
          </w:p>
        </w:tc>
        <w:tc>
          <w:tcPr>
            <w:tcW w:w="2310" w:type="dxa"/>
            <w:vAlign w:val="center"/>
            <w:gridSpan w:val="2"/>
          </w:tcPr>
          <w:p>
            <w:pPr/>
            <w:r>
              <w:rPr>
                <w:lang w:val="zh-CN"/>
                <w:rFonts w:ascii="Times New Roman" w:hAnsi="Times New Roman" w:cs="Times New Roman"/>
                <w:sz w:val="20"/>
                <w:szCs w:val="20"/>
                <w:color w:val="000000"/>
              </w:rPr>
              <w:t>512926195005170728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17、何跃林</w:t>
            </w:r>
          </w:p>
        </w:tc>
        <w:tc>
          <w:tcPr>
            <w:tcW w:w="2310" w:type="dxa"/>
            <w:vAlign w:val="center"/>
            <w:gridSpan w:val="2"/>
          </w:tcPr>
          <w:p>
            <w:pPr/>
            <w:r>
              <w:rPr>
                <w:lang w:val="zh-CN"/>
                <w:rFonts w:ascii="Times New Roman" w:hAnsi="Times New Roman" w:cs="Times New Roman"/>
                <w:sz w:val="20"/>
                <w:szCs w:val="20"/>
                <w:color w:val="000000"/>
              </w:rPr>
              <w:t>512926195001260056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18、唐明清</w:t>
            </w:r>
          </w:p>
        </w:tc>
        <w:tc>
          <w:tcPr>
            <w:tcW w:w="2310" w:type="dxa"/>
            <w:vAlign w:val="center"/>
            <w:gridSpan w:val="2"/>
          </w:tcPr>
          <w:p>
            <w:pPr/>
            <w:r>
              <w:rPr>
                <w:lang w:val="zh-CN"/>
                <w:rFonts w:ascii="Times New Roman" w:hAnsi="Times New Roman" w:cs="Times New Roman"/>
                <w:sz w:val="20"/>
                <w:szCs w:val="20"/>
                <w:color w:val="000000"/>
              </w:rPr>
              <w:t>512926195003270020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19、胡祖贵</w:t>
            </w:r>
          </w:p>
        </w:tc>
        <w:tc>
          <w:tcPr>
            <w:tcW w:w="2310" w:type="dxa"/>
            <w:vAlign w:val="center"/>
            <w:gridSpan w:val="2"/>
          </w:tcPr>
          <w:p>
            <w:pPr/>
            <w:r>
              <w:rPr>
                <w:lang w:val="zh-CN"/>
                <w:rFonts w:ascii="Times New Roman" w:hAnsi="Times New Roman" w:cs="Times New Roman"/>
                <w:sz w:val="20"/>
                <w:szCs w:val="20"/>
                <w:color w:val="000000"/>
              </w:rPr>
              <w:t>31011119490726131X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20、李秀蓉</w:t>
            </w:r>
          </w:p>
        </w:tc>
        <w:tc>
          <w:tcPr>
            <w:tcW w:w="2310" w:type="dxa"/>
            <w:vAlign w:val="center"/>
            <w:gridSpan w:val="2"/>
          </w:tcPr>
          <w:p>
            <w:pPr/>
            <w:r>
              <w:rPr>
                <w:lang w:val="zh-CN"/>
                <w:rFonts w:ascii="Times New Roman" w:hAnsi="Times New Roman" w:cs="Times New Roman"/>
                <w:sz w:val="20"/>
                <w:szCs w:val="20"/>
                <w:color w:val="000000"/>
              </w:rPr>
              <w:t>512922196501080704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21、肖薇</w:t>
            </w:r>
          </w:p>
        </w:tc>
        <w:tc>
          <w:tcPr>
            <w:tcW w:w="2310" w:type="dxa"/>
            <w:vAlign w:val="center"/>
            <w:gridSpan w:val="2"/>
          </w:tcPr>
          <w:p>
            <w:pPr/>
            <w:r>
              <w:rPr>
                <w:lang w:val="zh-CN"/>
                <w:rFonts w:ascii="Times New Roman" w:hAnsi="Times New Roman" w:cs="Times New Roman"/>
                <w:sz w:val="20"/>
                <w:szCs w:val="20"/>
                <w:color w:val="000000"/>
              </w:rPr>
              <w:t>511324200008125209</w:t>
            </w:r>
          </w:p>
        </w:tc>
        <w:tc>
          <w:tcPr>
            <w:tcW w:w="2310" w:type="dxa"/>
            <w:vAlign w:val="center"/>
          </w:tcPr>
          <w:p>
            <w:pPr/>
            <w:r>
              <w:rPr>
                <w:lang w:val="zh-CN"/>
                <w:rFonts w:ascii="Times New Roman" w:hAnsi="Times New Roman" w:cs="Times New Roman"/>
                <w:sz w:val="20"/>
                <w:szCs w:val="20"/>
                <w:color w:val="000000"/>
              </w:rPr>
              <w:t>17381266013</w:t>
            </w:r>
          </w:p>
        </w:tc>
        <w:tc>
          <w:tcPr>
            <w:tcW w:w="2310" w:type="dxa"/>
            <w:vAlign w:val="center"/>
          </w:tcPr>
          <w:p>
            <w:pPr/>
            <w:r>
              <w:rPr>
                <w:lang w:val="zh-CN"/>
                <w:rFonts w:ascii="Times New Roman" w:hAnsi="Times New Roman" w:cs="Times New Roman"/>
                <w:sz w:val="20"/>
                <w:szCs w:val="20"/>
                <w:color w:val="000000"/>
              </w:rPr>
              <w:t>22、刘佳</w:t>
            </w:r>
          </w:p>
        </w:tc>
        <w:tc>
          <w:tcPr>
            <w:tcW w:w="2310" w:type="dxa"/>
            <w:vAlign w:val="center"/>
            <w:gridSpan w:val="2"/>
          </w:tcPr>
          <w:p>
            <w:pPr/>
            <w:r>
              <w:rPr>
                <w:lang w:val="zh-CN"/>
                <w:rFonts w:ascii="Times New Roman" w:hAnsi="Times New Roman" w:cs="Times New Roman"/>
                <w:sz w:val="20"/>
                <w:szCs w:val="20"/>
                <w:color w:val="000000"/>
              </w:rPr>
              <w:t>51132119810326374X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23、杨贻婷</w:t>
            </w:r>
          </w:p>
        </w:tc>
        <w:tc>
          <w:tcPr>
            <w:tcW w:w="2310" w:type="dxa"/>
            <w:vAlign w:val="center"/>
            <w:gridSpan w:val="2"/>
          </w:tcPr>
          <w:p>
            <w:pPr/>
            <w:r>
              <w:rPr>
                <w:lang w:val="zh-CN"/>
                <w:rFonts w:ascii="Times New Roman" w:hAnsi="Times New Roman" w:cs="Times New Roman"/>
                <w:sz w:val="20"/>
                <w:szCs w:val="20"/>
                <w:color w:val="000000"/>
              </w:rPr>
              <w:t>51132520110913202X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24、杨素全</w:t>
            </w:r>
          </w:p>
        </w:tc>
        <w:tc>
          <w:tcPr>
            <w:tcW w:w="2310" w:type="dxa"/>
            <w:vAlign w:val="center"/>
            <w:gridSpan w:val="2"/>
          </w:tcPr>
          <w:p>
            <w:pPr/>
            <w:r>
              <w:rPr>
                <w:lang w:val="zh-CN"/>
                <w:rFonts w:ascii="Times New Roman" w:hAnsi="Times New Roman" w:cs="Times New Roman"/>
                <w:sz w:val="20"/>
                <w:szCs w:val="20"/>
                <w:color w:val="000000"/>
              </w:rPr>
              <w:t>512926195501130012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25、刘碧文</w:t>
            </w:r>
          </w:p>
        </w:tc>
        <w:tc>
          <w:tcPr>
            <w:tcW w:w="2310" w:type="dxa"/>
            <w:vAlign w:val="center"/>
            <w:gridSpan w:val="2"/>
          </w:tcPr>
          <w:p>
            <w:pPr/>
            <w:r>
              <w:rPr>
                <w:lang w:val="zh-CN"/>
                <w:rFonts w:ascii="Times New Roman" w:hAnsi="Times New Roman" w:cs="Times New Roman"/>
                <w:sz w:val="20"/>
                <w:szCs w:val="20"/>
                <w:color w:val="000000"/>
              </w:rPr>
              <w:t>512926195602240026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23</w:t>
            </w:r>
          </w:p>
        </w:tc>
        <w:tc>
          <w:tcPr>
            <w:tcW w:w="2310" w:type="dxa"/>
          </w:tcPr>
          <w:p>
            <w:pPr/>
            <w:r>
              <w:rPr>
                <w:lang w:val="zh-CN"/>
                <w:rFonts w:ascii="Times New Roman" w:hAnsi="Times New Roman" w:cs="Times New Roman"/>
                <w:sz w:val="20"/>
                <w:szCs w:val="20"/>
                <w:color w:val="000000"/>
              </w:rPr>
              <w:t>1350.00</w:t>
            </w:r>
          </w:p>
        </w:tc>
        <w:tc>
          <w:tcPr>
            <w:tcW w:w="2310" w:type="dxa"/>
          </w:tcPr>
          <w:p>
            <w:pPr/>
            <w:r>
              <w:rPr>
                <w:lang w:val="zh-CN"/>
                <w:rFonts w:ascii="Times New Roman" w:hAnsi="Times New Roman" w:cs="Times New Roman"/>
                <w:sz w:val="20"/>
                <w:szCs w:val="20"/>
                <w:color w:val="000000"/>
              </w:rPr>
              <w:t>31050.00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全陪</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420.00</w:t>
            </w:r>
          </w:p>
        </w:tc>
        <w:tc>
          <w:tcPr>
            <w:tcW w:w="2310" w:type="dxa"/>
          </w:tcPr>
          <w:p>
            <w:pPr/>
            <w:r>
              <w:rPr>
                <w:lang w:val="zh-CN"/>
                <w:rFonts w:ascii="Times New Roman" w:hAnsi="Times New Roman" w:cs="Times New Roman"/>
                <w:sz w:val="20"/>
                <w:szCs w:val="20"/>
                <w:color w:val="000000"/>
              </w:rPr>
              <w:t>420.00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1450.00</w:t>
            </w:r>
          </w:p>
        </w:tc>
        <w:tc>
          <w:tcPr>
            <w:tcW w:w="2310" w:type="dxa"/>
          </w:tcPr>
          <w:p>
            <w:pPr/>
            <w:r>
              <w:rPr>
                <w:lang w:val="zh-CN"/>
                <w:rFonts w:ascii="Times New Roman" w:hAnsi="Times New Roman" w:cs="Times New Roman"/>
                <w:sz w:val="20"/>
                <w:szCs w:val="20"/>
                <w:color w:val="000000"/>
              </w:rPr>
              <w:t>1450.00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退定金</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-1300.00</w:t>
            </w:r>
          </w:p>
        </w:tc>
        <w:tc>
          <w:tcPr>
            <w:tcW w:w="2310" w:type="dxa"/>
          </w:tcPr>
          <w:p>
            <w:pPr/>
            <w:r>
              <w:rPr>
                <w:lang w:val="zh-CN"/>
                <w:rFonts w:ascii="Times New Roman" w:hAnsi="Times New Roman" w:cs="Times New Roman"/>
                <w:sz w:val="20"/>
                <w:szCs w:val="20"/>
                <w:color w:val="000000"/>
              </w:rPr>
              <w:t>-1300.00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餐补</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-1300.00</w:t>
            </w:r>
          </w:p>
        </w:tc>
        <w:tc>
          <w:tcPr>
            <w:tcW w:w="2310" w:type="dxa"/>
          </w:tcPr>
          <w:p>
            <w:pPr/>
            <w:r>
              <w:rPr>
                <w:lang w:val="zh-CN"/>
                <w:rFonts w:ascii="Times New Roman" w:hAnsi="Times New Roman" w:cs="Times New Roman"/>
                <w:sz w:val="20"/>
                <w:szCs w:val="20"/>
                <w:color w:val="000000"/>
              </w:rPr>
              <w:t>-1300.00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总金额：叁万零叁佰贰拾元整</w:t>
            </w:r>
          </w:p>
        </w:tc>
        <w:tc>
          <w:tcPr>
            <w:tcW w:w="2310" w:type="dxa"/>
            <w:textDirection w:val="right"/>
            <w:gridSpan w:val="3"/>
          </w:tcPr>
          <w:p>
            <w:pPr/>
            <w:r>
              <w:rPr>
                <w:lang w:val="zh-CN"/>
                <w:rFonts w:ascii="Times New Roman" w:hAnsi="Times New Roman" w:cs="Times New Roman"/>
                <w:b/>
                <w:color w:val="FF0000"/>
              </w:rPr>
              <w:t>30320.00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乘火车至昆明(南充-昆明K988，火车车次仅供参考，具体车次已实际出票为准)，接火车后，安排入住酒店，在四季如春的高原城市昆明，享受蓝天白云及生活的闲暇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昆明石林楚雄</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天下第一奇观”国家级重点AAAAA级风景区【石林】（不含电瓶车25元/人自理）石林风景区已经被联合国文教科评为“世界地质公园”，“世界自然遗产风光”,是一片汪洋泽国，经过漫长的地质演变，终于形成了极为珍贵的地质遗迹，涵盖了地球上众多的喀斯特地貌类型。主要景点：石林胜境、剑锋池、小石林、阿诗玛化身石等景点。中餐安排品尝【宜良特色风味烤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安排VIP茶歇。后乘车前往楚雄，晚餐安排品尝【楚雄菌火锅】。后入住酒店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早餐：含；午餐：含；晚餐：含；住宿：楚雄/大理</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大理—圣托里尼—洱海游船—花海—吉普车—大理古城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大理（大约3小时左右），到达后前往有中国圣托里尼之称的【理想邦】，在这里随手一拍都是大片，天空与海洋两者间一个个梦境，从这里开始，蓝色浪漫，白色纯净，温柔与风和白云一样恍惚，色彩柔软，伴随着蓝色调，深入内心静谧处，看久了似乎陷进画的浪漫世界，安静地声音，忘记一切。自费乘坐【豪华双层游船】畅游洱海（费用自理180元/人，电瓶车20元/人）海心360度美拍，登金梭岛古渔村游览，一线海景自由拍照，岛内有【龙宫】景点，是天然地下溶洞，正所谓海中有岛，岛中有洞，洞中有景，美不胜收。龙宫内的【魅力金梭之海菜花】歌舞晚会，以及保护洱海、爱护环境，人与自然和谐共处的美好画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束后我们将前往乘坐【敞篷吉普车旅拍】+【大理花海】乘坐酷炫敞蓬吉普车（4人一车），载着来自五湖四海的你，朝着大理四大名景之一的苍山前行，一路穿越天然氧吧苗圃，远观巍峨雄壮的苍山美景！天蓝的得像一汪海水，几朵飘悠悠的白云，洋洋洒洒地点缀在空中，像一个美妙的老人的梦！花海设各种【网红拍摄-天空之境】，如玻璃球、花之境、白桌子、大理欢迎您门框、网红拍摄桌、云梯、卡通敞蓬吉普车等道具拍照，定格你最难忘的一刻，让美好的旅行成为一辈子的记忆！天空之境不只玻利维亚的乌尤尼盐一处，大理也自能满足人们对天空的幻想。这是一个在流云间漂浮着的天空之城，云朵高悬，渔船散落，天空与湖面融为一体。白云夕阳星辰炙手可得，感受不一样的“风花雪月”。后乘车前往国家AAAA级旅游景区【大理古城、洋人街】（不含电瓶车35元/人自理），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这里传承了1200多年的古南诏历史，“五华楼”、古老的城墙、四道城门以及旧时的巷道，无一不是南诏古国文明的历史缩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餐特别安排【南涧跳菜】，南涧跳菜属于非遗文化遗产，席间演唱民族敬酒歌。之后参加民族换装篝火晚会，让游客拿上道具，学习体验白族文艺瑰宝“霸王鞭”舞蹈！并跟随舞蹈演员一起载歌载舞，欢快的围着篝火打跳！后入住大理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早餐：含；午餐：含；晚餐：含；住宿：天然温泉酒店</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云南特色文化展示厅—白族民居—玉龙雪山—雪山峡谷演艺公园—丽江古城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云南特色文化展示厅】。后前往参观【白族民居】马帮文化的展示，了解白族民居青瓦白墙、三滴水门头、风水照壁，参观了解工艺美术大师寸发标先生的民族手工艺研制机构。中餐安排品尝【大理砂锅生态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下午乘车前往游览【东巴秘境----雪山峡谷演艺公园】（包含景区演艺门票、电瓶车、网红玻璃桥、木府风云）以最新样貌回归，雪山峡谷演艺公园是于荣光《木府风云》携手打造玉龙雪山之下一个带您“穿越回古丽江”的神奇景区！走进景区，仿佛穿越回400年前古丽江，身着古雅纯朴的少数民族服饰，探赏精巧恢弘的土司时代古建筑群，奇遇形形色色的丽江百姓，成为故事中的人，走进传奇之中，独特深刻的“穿越感”、耳目一新的创新体验，生动感受古丽江文明的悠远底蕴。景区内旅拍点位众多，【雪域花海】与雪山红白相映，美到刷爆朋友圈。【天空栈道】是跨越峡谷的一抹红，踏云而行、踩幽而过，惊艳与惊险并存。其余大小数十个旅拍打卡点，随手就能拍出网红大片，完爆你的手机内存。雪山峡谷演艺公园融合雪山、峡谷、高原、悬崖、花海、草甸、湖泊等多种自然风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后前往游览久负“柔软时光”盛誉的“高原姑苏”国家AAAAA级景区【丽江古城】，又名大研镇，是中国以整座古城申报世界文化遗产获得成功的两座古城之一。丽江古城内的街道依山傍水修建，以红色角砾岩铺就，有四方街、木府、文昌宫、等景点。这里家家流水、户户垂杨，自由漫步于石板路上，感受边陲小镇小桥流水人家的宁静祥和，在世界文化遗产丽江古城中寻味纳西民族的纯朴和文化。（自由活动期间，请贵宾务必注意人身及财产安全）。游览结束后自行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2024/06/01</w:t>
            </w:r>
          </w:p>
        </w:tc>
        <w:tc>
          <w:tcPr>
            <w:tcW w:w="2310" w:type="dxa"/>
            <w:gridSpan w:val="7"/>
          </w:tcPr>
          <w:p>
            <w:pPr/>
            <w:r>
              <w:rPr>
                <w:lang w:val="zh-CN"/>
                <w:rFonts w:ascii="Times New Roman" w:hAnsi="Times New Roman" w:cs="Times New Roman"/>
                <w:b/>
                <w:color w:val="000000"/>
              </w:rPr>
              <w:t>丽江—国家宝藏—束河古镇/黑龙潭—昆明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国家宝藏】。后游览纳西文化另一发源地，国家AAAA级旅游景区【束河古镇】或者【黑龙潭】，束河古镇，纳西语称“绍坞”，因村后聚宝山形如堆垒之高峰，以山名村，流传变异而成，意为“高峰之下的村寨”，是纳西先民在丽江坝子中最早的聚居地之一。束河古镇是茶马古道上保存完好的重要集镇，也是纳西先民从农耕文明向商业文明过渡的活标本，是对外开放和马帮活动形成的集镇建设典范。束河是世界文化遗产丽江古城的重要组成部分，于2005年入选CCTV“中国魅力名镇”。中午特别安排品尝丽江美食【火塘生态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后乘车返回昆明，【丽江返昆此段无导游陪同】晚入住酒店。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早餐：含；午餐：含；晚餐：不含；住宿：昆明</w:t>
            </w:r>
          </w:p>
        </w:tc>
      </w:tr>
      <w:tr>
        <w:tc>
          <w:tcPr>
            <w:tcW w:w="2310" w:type="dxa"/>
            <w:vAlign w:val="center"/>
            <w:vMerge w:val="restart"/>
          </w:tcPr>
          <w:p>
            <w:pPr/>
            <w:r>
              <w:rPr>
                <w:lang w:val="zh-CN"/>
                <w:rFonts w:ascii="Times New Roman" w:hAnsi="Times New Roman" w:cs="Times New Roman"/>
                <w:sz w:val="20"/>
                <w:szCs w:val="20"/>
                <w:color w:val="000000"/>
              </w:rPr>
              <w:t>2024/06/02</w:t>
            </w:r>
          </w:p>
        </w:tc>
        <w:tc>
          <w:tcPr>
            <w:tcW w:w="2310" w:type="dxa"/>
            <w:gridSpan w:val="7"/>
          </w:tcPr>
          <w:p>
            <w:pPr/>
            <w:r>
              <w:rPr>
                <w:lang w:val="zh-CN"/>
                <w:rFonts w:ascii="Times New Roman" w:hAnsi="Times New Roman" w:cs="Times New Roman"/>
                <w:b/>
                <w:color w:val="000000"/>
              </w:rPr>
              <w:t>集散中心普洱</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在美丽的昆明醒来(酒店叫早服务)带着愉悦的心情在酒店餐厅享用丰盛的早餐。早餐后前往【游客集散中心】（约120分钟），您可以挑选中意的云南鲜花、干花、植物精油等土特产，作为伴手礼回家馈赠亲友，分享旅程的喜悦。结束后我们的工作人员会告知您版纳的车牌号，送您到指定地点集合，统一乘车沿昆曼大道至美丽的普洱（约419KM,车程约6小时），途经玉溪、元江、墨江、抵达普洱，安排入住酒店。（备注：此段无导游陪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早餐：含；午餐：不含；晚餐：含；住宿：普洱</w:t>
            </w:r>
          </w:p>
        </w:tc>
      </w:tr>
      <w:tr>
        <w:tc>
          <w:tcPr>
            <w:tcW w:w="2310" w:type="dxa"/>
            <w:vAlign w:val="center"/>
            <w:vMerge w:val="restart"/>
          </w:tcPr>
          <w:p>
            <w:pPr/>
            <w:r>
              <w:rPr>
                <w:lang w:val="zh-CN"/>
                <w:rFonts w:ascii="Times New Roman" w:hAnsi="Times New Roman" w:cs="Times New Roman"/>
                <w:sz w:val="20"/>
                <w:szCs w:val="20"/>
                <w:color w:val="000000"/>
              </w:rPr>
              <w:t>2024/06/03</w:t>
            </w:r>
          </w:p>
        </w:tc>
        <w:tc>
          <w:tcPr>
            <w:tcW w:w="2310" w:type="dxa"/>
            <w:gridSpan w:val="7"/>
          </w:tcPr>
          <w:p>
            <w:pPr/>
            <w:r>
              <w:rPr>
                <w:lang w:val="zh-CN"/>
                <w:rFonts w:ascii="Times New Roman" w:hAnsi="Times New Roman" w:cs="Times New Roman"/>
                <w:b/>
                <w:color w:val="000000"/>
              </w:rPr>
              <w:t>普洱版纳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大渡岗万亩茶园】，欣赏万亩茶园风光，了解普洱茶文化，可免费品尝上百年普洱茶等。乘车前往“神秘、奇异、优美”而著称的【野象谷风景区】,它是西双版纳最令人神往的森林公园和观赏野象活动的景区，景区以其特有的热带原始森林景观和数量较多的野生亚洲象而著称于世。野象谷公园内设有动物观赏区,原始森林探险旅游区和接待中心等；建有莽蛇园、百鸟园、中国第一个人工蝴蝶养殖园等特色景点、特色少数民族歌舞表演节目，游人可观看大象表演节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午餐后游览【原始森林公园】（自理电瓶车60/人）园内森林覆盖率超过98%，是个天然的大氧吧。园内有沟谷雨林、孔雀飞舞、民俗歌舞、美食、泼水狂欢等项目，是西双版纳最大的综合性生态旅游景点之一；以自然、生态、环保、休闲、健康等为主要元素的时尚生活理念，通过冬季的民族年俗文化季、春季的孔雀文化季、夏季的雨林文化季和秋季的民族服饰季予以体现。可自费参加：篝火晚会280/人、湄公河游船280元/人、新傣秀加六国盛宴320/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早餐：含；午餐：含；晚餐：不含；住宿：版纳</w:t>
            </w:r>
          </w:p>
        </w:tc>
      </w:tr>
      <w:tr>
        <w:tc>
          <w:tcPr>
            <w:tcW w:w="2310" w:type="dxa"/>
            <w:vAlign w:val="center"/>
            <w:vMerge w:val="restart"/>
          </w:tcPr>
          <w:p>
            <w:pPr/>
            <w:r>
              <w:rPr>
                <w:lang w:val="zh-CN"/>
                <w:rFonts w:ascii="Times New Roman" w:hAnsi="Times New Roman" w:cs="Times New Roman"/>
                <w:sz w:val="20"/>
                <w:szCs w:val="20"/>
                <w:color w:val="000000"/>
              </w:rPr>
              <w:t>2024/06/04</w:t>
            </w:r>
          </w:p>
        </w:tc>
        <w:tc>
          <w:tcPr>
            <w:tcW w:w="2310" w:type="dxa"/>
            <w:gridSpan w:val="7"/>
          </w:tcPr>
          <w:p>
            <w:pPr/>
            <w:r>
              <w:rPr>
                <w:lang w:val="zh-CN"/>
                <w:rFonts w:ascii="Times New Roman" w:hAnsi="Times New Roman" w:cs="Times New Roman"/>
                <w:b/>
                <w:color w:val="000000"/>
              </w:rPr>
              <w:t>西双版纳—花卉园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翡翠展览馆】，了解翡翠、玉石文化，翡翠、玉石是中国传统文化的重要组成部分，是中华文化的载体，是中国五千年文明的传承。在中国人的眼中，玉不仅仅是一块石头，更是生长于天地之间，吸收天地之灵气，沉淀历史的沧桑变化，融天地与历史于一身的灵性之物。而翡翠它既是代表东方人气节与文化的的传世信物，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是当今最让可人儿喜爱的高档次饰品。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游览【花卉园】或【勐泐大佛寺】（根据当地导游行程和当地情况安排）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前往前往参观AAAA【热带花卉园】（电瓶车40元/人自理）通过热带花卉以及热带植物的园林景观展示科普内涵。或参观享誉东南亚的南传佛教标志建筑【勐泐大佛寺】（电瓶车40元/人自理），这里佛像高49米，站在佛脚可以将整个景洪城尽收眼底，参加泼水活动，感受傣族节日的狂欢。体验傣族孔雀放飞的盛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午餐品尝【版纳傣味特色餐】；之后前往健康生活馆休息站，避开中午火辣的烈日和强紫外线伤害，躺在乳胶垫上舒缓腰椎颈椎疲劳；参观当地【特色乳胶展览馆】，了解西双版纳的农垦文化、知青文化及橡胶树这一经济作物是在怎样的历史背景下进入我国在西双版纳种植，了解橡胶的由来。晚餐不含，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早餐：含；午餐：含；晚餐：不含；住宿：版纳</w:t>
            </w:r>
          </w:p>
        </w:tc>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版纳-昆明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早餐后，乘车前往【傣家村寨】，漫步在热带雨林怀抱中的傣家村寨、你会发现、四周翠竹围绕、绿树成荫、这就是最真实、最质朴的西双版纳、原始民族村寨的独有风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情、静静的传承了数千年。后乘车参观【药材】或【黄龙玉】。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后乘车前往昆明，抵达美丽的省会城市昆明，入住酒店。（备注：此段无导游陪同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早餐：含；午餐：含；晚餐：不含；住宿：昆明</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昆明-成都</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早餐后，游览自由活动。(昆明-成都南D256，仅供参考，具体车次已实际出票为准)后根据火车车次送站，结束愉快的云南之旅，回到温馨的家！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1、【交通】云南全程空调旅游车。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2、【景点】行程所列景点首道门票（不含小门票、缆车、景区小交通、船、电瓶车）。赠送项目，如遇不可抗拒因素无法成行，门票不退。行程内所有景点均为打包优惠价，任何优惠证件不退门票差价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3、【餐饮】9早11正（正餐八菜一汤,不含酒水）；正餐餐标20元/人，特色餐40元/人。（10人1桌，人数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增减时，菜量相应增减，但维持餐标不变，地区饮食有差异，可自备咸菜、海椒类。）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4、【住宿】全程当地商务酒店+一晚温泉酒店（确保每人每晚一床位，如遇单男单女或单人时，游客自愿同意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旅行社尽量安排三人间或加床（钢丝床）；如无法安排三人间或加床时，游客现补单房差）。全程默认使用旅游酒店双标间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5、【导服】当地持证中文导游服务。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6、【儿童】12岁以下儿童游客团费含当地旅游车车位正座及半价餐，不含早餐。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7、【其它】旅游意外保险、旅行社责任险。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参考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（仅供参考，如遇用房紧张，我社将安排不低于以下档次酒店）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昆明：云都温泉酒店、金柏温泉酒店、恒友酒店、关景酒店、华欧酒店、萌青春酒店或同级酒店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大理：恒邦酒店、怀仁酒店、环球酒店、顺兴酒店或同级酒店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楚雄：锦浩酒店、西岸酒店、蝶恋花酒店、广怡酒店、银霖酒店或同级酒店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丽江：玉璧峰酒店、白龙潭酒店、丽豪假日酒店、唯美酒店、文笔峰、海龙云鹤或同级酒店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普洱：荷塘主题客栈、荷塘主题酒店、盛逸酒店、龙威酒店、友庆酒店、茶古茶客栈、聚缇客栈、联特驿站、凯盛酒店、曼菩酒店（或同级酒店）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版纳：景洪一家人、景江度假酒店、裕宸酒店、凤苑酒店、恒辉商务、锦辉酒店、锦怡酒店（或同级）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备注</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1、所有赠送项目若因客观原因无法参观或客人放弃的费用不退不换。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2、旅行社有权调整行程先后顺序。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3、组团社务必购买旅游意外险，65岁开始客人请签免责协议附带健康证明，否则无法接待。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4、自由活动期间导游不提供服务，请游客外出时，注意个人财务及安全，如需帮助，请及时电联导游。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石林电瓶车25元/人、大理古城电瓶车35元/人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洱海游船180元/人、游船电瓶车20元/人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原始森林电瓶车60元/人、花卉园电瓶车40元/人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篝火晚会280/人、湄公河游船280元/人、新傣秀加六国盛宴320/人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购物</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翡翠、银器、国家宝藏、版纳玉器、乳胶、黄龙玉或药材（VIP茶歇、集散中心、茶山、傣楼）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景区内、餐厅内及路边上的商场属自行商业行为，不属于行程内购物店。购物请谨慎，我社不处理此类纠纷！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不含费用：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1、不含所有景区内小交通费用：例如电瓶车、索道。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2、不含出发地/火车站（飞机场）的交通费用。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3、不含自由活动期间交通费、餐费、等私人费用。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4、不含因交通延误、取消等意外事件或自然灾害等不可抗拒力导致的额外费用。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5、火车抵达昆明直接参团不含早餐。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友情提示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请务必携带身份证等有效证件（请务必妥善保管）。该产品报价为综合优惠价格，持军官证、导游证、记者证、教师证、老年证等证件不能减免门票费用。（若因未出示或使用伪造证件导致的一切责任及后果应由游客自行承担）如人力不可抗拒的情况下，安排不了的景点，按旅行社与景区协议成本现退给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2、如遇不可抗力因素或航空公司航班变动、火车晚点/停运等因素，以及非旅行社责任造成的意外情况所产生的相应损失，需由客人自理。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3、游客须自行保管贵重物品，如游客因自身原因遗失物品，由自身负责，我社及导游有义务协助寻找或报案，但不负责赔偿。</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老年人注意事项：（重点保存）老年人出游需带上常备用药。尤其是老年慢性病患者，除了带日常服用的药物外，还须准备一些特殊的急救用药。2.老年人出门应注意感冒。气候变化无常，时风时雨。外出时要备足衣服，携带雨具，鞋袜大小合适，不宜坐阴冷潮湿的石地上，防止雨淋，登山下坡切勿迎风而立，避免受凉致病。在出游时如遇雨受凉，到家后可用生姜、葱头加红糖适量，用水煎热服，以驱风散寒。睡前用热水洗脚，睡时脚部适度垫高，以促进足部血液循环，尽快消除疲劳。3.莫忘携带手杖。手杖是老年人的“第三条腿”，因此，高龄老人外出旅游时宜带手杖。4.防止意外。行动宜谨慎小心，坐车、乘船、登山均需精心安排，最好有人照料、随行。出游时，老人应尽量避免走陡峭的小道，不要独自攀登山林石壁，以免发生意外。5.注意过敏。有过敏史的老年人，要尽量回避有花之处，也可事先口服朴尔敏等抗过敏药，以防花粉过敏。6.注意防寒保暖。春天气候多变，反复无常，乍暖还寒，容易引起流感等呼吸道传染病。因此，应备足备齐衣物、用品等，以防不测。7.防止旧病复发。异地春游时，易发生过敏性疾病和“水土不服”症等，应重视预防。平时需要用药治疗者，不可擅自停用，否则，可导致旧病复发，病情加重或恶化。8.注意饮食卫生。出游时，要适当增加营养。对各地的美味佳肴、风味小吃等应以品尝为主，一次不宜吃得过多，更不能暴饮暴食，以免引起消化不良等。还要注意饮食卫生，不吃不洁、生冷食物，防止病毒性肝炎、痢疾、伤寒等肠道传染病经口而入。9.防晕动症。晕车、晕船、晕机是最常见的晕动症，空腹、过饱、疲劳及睡眠不足都是常见的诱因，要注意避免。轻微的晕动症，闭目休息或卧床后即可消除。反应较明显的可在旅行前半小时口服晕海宁、眩晕停或地西洋。如果发生晕动症，而又无药物治疗时，可针刺或按摩内关穴、足三里穴。10.不要过度疲劳。美好的春景、秀丽的山河，常使人流连忘返，马不停蹄地连续观赏。这样，极易出现过度疲劳。如果出现乏力、多汗、头晕、眼花、心悸等症状时，应尽早休息，不可勉强坚持，患有心血管病的老年人，更应加强自我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赵玉林</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2024/5/27 8:51:49</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