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YN20230514庞琳03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【经典版纳】直飞版纳双飞五日游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2023-05-14 G54085 重庆→版纳 10:15-12:10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2023-05-18 G54086 版纳→重庆 12:55-14:4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1、李天齐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512924196106151798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2、唐玲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512924197105100029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13890816838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?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原始森林公园勐泐大佛寺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50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?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傣族村寨热带花卉园夜游告庄西双景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?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版纳机场Q温馨的家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睡到自然醒，早餐后，自由活动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2023/5/7 16:18:23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