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营山万美旅游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何娟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18990855000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YN20230802庞琳07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 【象动动】-昆明·普洱·版纳双飞6日游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2023-08-02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2023-08-07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1、刘建</w:t>
            </w:r>
          </w:p>
        </w:tc>
        <w:tc>
          <w:tcPr>
            <w:tcW w:w="2310" w:type="dxa"/>
            <w:vAlign w:val="center"/>
            <w:gridSpan w:val="2"/>
          </w:tcPr>
          <w:p>
            <w:pPr/>
            <w:r>
              <w:rPr>
                <w:lang w:val="zh-CN"/>
                <w:rFonts w:ascii="Times New Roman" w:hAnsi="Times New Roman" w:cs="Times New Roman"/>
                <w:sz w:val="20"/>
                <w:szCs w:val="20"/>
                <w:color w:val="000000"/>
              </w:rPr>
              <w:t>512924197804233699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2、刘怡帆</w:t>
            </w:r>
          </w:p>
        </w:tc>
        <w:tc>
          <w:tcPr>
            <w:tcW w:w="2310" w:type="dxa"/>
            <w:vAlign w:val="center"/>
            <w:gridSpan w:val="2"/>
          </w:tcPr>
          <w:p>
            <w:pPr/>
            <w:r>
              <w:rPr>
                <w:lang w:val="zh-CN"/>
                <w:rFonts w:ascii="Times New Roman" w:hAnsi="Times New Roman" w:cs="Times New Roman"/>
                <w:sz w:val="20"/>
                <w:szCs w:val="20"/>
                <w:color w:val="000000"/>
              </w:rPr>
              <w:t>511322201312291326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3、吕琳琳</w:t>
            </w:r>
          </w:p>
        </w:tc>
        <w:tc>
          <w:tcPr>
            <w:tcW w:w="2310" w:type="dxa"/>
            <w:vAlign w:val="center"/>
            <w:gridSpan w:val="2"/>
          </w:tcPr>
          <w:p>
            <w:pPr/>
            <w:r>
              <w:rPr>
                <w:lang w:val="zh-CN"/>
                <w:rFonts w:ascii="Times New Roman" w:hAnsi="Times New Roman" w:cs="Times New Roman"/>
                <w:sz w:val="20"/>
                <w:szCs w:val="20"/>
                <w:color w:val="000000"/>
              </w:rPr>
              <w:t>511322197911031025</w:t>
            </w:r>
          </w:p>
        </w:tc>
        <w:tc>
          <w:tcPr>
            <w:tcW w:w="2310" w:type="dxa"/>
            <w:vAlign w:val="center"/>
          </w:tcPr>
          <w:p>
            <w:pPr/>
            <w:r>
              <w:rPr>
                <w:lang w:val="zh-CN"/>
                <w:rFonts w:ascii="Times New Roman" w:hAnsi="Times New Roman" w:cs="Times New Roman"/>
                <w:sz w:val="20"/>
                <w:szCs w:val="20"/>
                <w:color w:val="000000"/>
              </w:rPr>
              <w:t>13990886022</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2580.00</w:t>
            </w:r>
          </w:p>
        </w:tc>
        <w:tc>
          <w:tcPr>
            <w:tcW w:w="2310" w:type="dxa"/>
          </w:tcPr>
          <w:p>
            <w:pPr/>
            <w:r>
              <w:rPr>
                <w:lang w:val="zh-CN"/>
                <w:rFonts w:ascii="Times New Roman" w:hAnsi="Times New Roman" w:cs="Times New Roman"/>
                <w:sz w:val="20"/>
                <w:szCs w:val="20"/>
                <w:color w:val="000000"/>
              </w:rPr>
              <w:t>5160.00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1980.00</w:t>
            </w:r>
          </w:p>
        </w:tc>
        <w:tc>
          <w:tcPr>
            <w:tcW w:w="2310" w:type="dxa"/>
          </w:tcPr>
          <w:p>
            <w:pPr/>
            <w:r>
              <w:rPr>
                <w:lang w:val="zh-CN"/>
                <w:rFonts w:ascii="Times New Roman" w:hAnsi="Times New Roman" w:cs="Times New Roman"/>
                <w:sz w:val="20"/>
                <w:szCs w:val="20"/>
                <w:color w:val="000000"/>
              </w:rPr>
              <w:t>1980.00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总金额：柒仟壹佰肆拾元整</w:t>
            </w:r>
          </w:p>
        </w:tc>
        <w:tc>
          <w:tcPr>
            <w:tcW w:w="2310" w:type="dxa"/>
            <w:textDirection w:val="right"/>
            <w:gridSpan w:val="3"/>
          </w:tcPr>
          <w:p>
            <w:pPr/>
            <w:r>
              <w:rPr>
                <w:lang w:val="zh-CN"/>
                <w:rFonts w:ascii="Times New Roman" w:hAnsi="Times New Roman" w:cs="Times New Roman"/>
                <w:b/>
                <w:color w:val="FF0000"/>
              </w:rPr>
              <w:t>7140.00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2023/08/02</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今日由专业接机组接机，接送至酒店，安排入住，无需繁琐入住手续、无需押金，直接入住；入住后游客可自行游览昆明市区，品尝街头美食。之后入住酒店休息。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前往乘车前往“古南方丝绸之路”的起点，茶马古道遗址——【普洱茶马古道国家公园】（索道、电瓶车自理100元/人），走在“古道”的青石板路上，感受太阳的余晖散落在山间并聆听“踢踢踏踏”的马蹄声，顿感岁月的沧桑和人世的沉浮。简介：第一部分：【马锅头鱼鹰捕猎】：VIP私人定制体验马锅头鱼鹰捕鱼，穿越古代感受马帮野外生活体验第二部分：【邂逅汗血宝马】：河西走廊上的丝绸之路与南方丝绸之路是中国最古老的商道，马是古代的战略资源，也是重要的交通运输工具，汗血宝马自古以来就是马中贵族，帝王将相，英雄豪杰一生追求。纯种土库曼斯坦汗血宝马家族与您见证辉煌而沧桑的古道遗风。第三部分：【瑞贡天朝】：穿越回清朝光绪21年，感受普洱人民最高荣耀——御赐“瑞贡天朝”，了解茶马盛世，熟知普洱种茶人的匠人精神，赶马人的蹉跎艰辛，当今国家战略“一带一路”的来之不易。第四部分：【森林滑道激爽刺激】：（友情提示：禁止年纪较大、醉酒、高血压、低血糖、心脏病、眩晕症、癫痫病、智障人士、孕妇及其他不适应滑道运动者乘坐）：乘坐滑车呼啸而下，时而置身树林，时而置身蒿草丛生的山野世界，时而置身于清香四溢的茶园，滑车转弯时惯性带来的“脱轨感”更是让人心跳加速，大呼刺激；，之后乘车入住普洱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参观【万亩茶园】（参观时间60分钟）。品地道云南普洱茶，欣赏了解普洱茶的冲泡及做工工艺。之后乘车前往西双版纳【野象谷】在中国要看亚洲野象，必须到西双版纳，到西双版纳看野象，又必须到野象谷。1996年对外开放至今，后又建有观象架走廊、树上旅馆、高空索道、步行游道等设施以及人工【蝴蝶养殖园】、网笼【百鸟园】等。观看【大象表演】节目，这些训练有素的看起来笨拙的庞然大物，能过独木桥、会向游客鞠躬表示欢迎，会作头顶地、脚朝天的倒立，会用象鼻作"踢"球表演，会合着音乐跳舞。游客可骑在象背上。我们特别安排身临其境喂大象体验。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来到告庄推荐参加（勐巴拉纳西篝火晚会280元/人、湄公河快艇260元/人），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湄公河快艇，梦想起航！起点：国际码头景洪港。航线：乘风破浪澜沧江，国内叫澜沧江，境外称湄公河。一江连六国，风情尽享。人在艇上，艇在浪上，鱼跃在身旁，尖叫声飘扬在六国江面上。岸上热带雨林，藤缠雾绕。头上蓝天白云，艳阳高照。身边浪起鱼跃，白鹭飞翔。水的柔情，浪的刺激，艇的飞跃，潇洒浪漫尽在碧波白浪澜沧江！中途快艇小憩花果岛：尝东南亚热带水果，品边疆茅台，伴民族小姑娘起舞歌唱。不乘快艇不知澜湄六国风光，等于没到过湄公河澜沧江。一次航程，一生回味，湄公河快艇欢迎您！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早餐后前往游览西双版纳【原始森林公园】（不含景区电瓶观光车60/人），车程约20分钟。森林公园是离景洪城最近的一片原始森林。在25000亩热带沟谷雨林的基础上创建，园内森林覆盖率超过98%，是个天然的大氧吧。有沟谷雨林、孔雀飞舞、民俗歌舞、美食、泼水狂欢等项目，突出体现了“原始森林、野生动物、民族风情”三大主题。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了解一代傣王带领傣族寨子致富：“吃水不忘挖井人，致富不忘共产党”，走村串寨，进入傣族家里听听傣族的故事，生活习惯。中餐后我们乘坐高铁返回昆明。之后游览【散客集散中心】，您可自行购买鲜花特产，逛逛集散中心，把云南特色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您可睡到自然醒，将几天来旅途中的兴奋和疲劳做片刻的放松。乘班机返温暖的家，把春城的真诚和美丽带给您的亲朋好友，服务结束！祝您旅途愉快！（无早机费）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何娟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2023/7/27 11:37:15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